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24"/>
        <w:gridCol w:w="1924"/>
        <w:gridCol w:w="5772"/>
      </w:tblGrid>
      <w:tr w:rsidR="00EA3489" w:rsidRPr="00CA6A0F" w14:paraId="1DB511DF" w14:textId="77777777" w:rsidTr="00EA3489">
        <w:tc>
          <w:tcPr>
            <w:tcW w:w="1924" w:type="dxa"/>
          </w:tcPr>
          <w:p w14:paraId="36402E0E" w14:textId="581FFAB5" w:rsidR="00EA3489" w:rsidRPr="00CA6A0F" w:rsidRDefault="00C55F02" w:rsidP="00743105">
            <w:pPr>
              <w:pStyle w:val="TUbodytext"/>
              <w:rPr>
                <w:rFonts w:asciiTheme="majorHAnsi" w:hAnsiTheme="majorHAnsi" w:cstheme="majorHAnsi"/>
                <w:b/>
              </w:rPr>
            </w:pPr>
            <w:r w:rsidRPr="00CA6A0F">
              <w:rPr>
                <w:rFonts w:asciiTheme="majorHAnsi" w:hAnsiTheme="majorHAnsi" w:cstheme="majorHAnsi"/>
                <w:b/>
              </w:rPr>
              <w:t>ACS</w:t>
            </w:r>
          </w:p>
        </w:tc>
        <w:tc>
          <w:tcPr>
            <w:tcW w:w="7696" w:type="dxa"/>
            <w:gridSpan w:val="2"/>
          </w:tcPr>
          <w:p w14:paraId="19383E27" w14:textId="3C23C2AF" w:rsidR="00EA3489" w:rsidRPr="00CA6A0F" w:rsidRDefault="00C55F02" w:rsidP="00FA5784">
            <w:pPr>
              <w:pStyle w:val="TUbodytext"/>
              <w:rPr>
                <w:rFonts w:asciiTheme="majorHAnsi" w:hAnsiTheme="majorHAnsi" w:cstheme="majorHAnsi"/>
                <w:b/>
              </w:rPr>
            </w:pPr>
            <w:r w:rsidRPr="00CA6A0F">
              <w:rPr>
                <w:rFonts w:asciiTheme="majorHAnsi" w:hAnsiTheme="majorHAnsi" w:cstheme="majorHAnsi"/>
                <w:b/>
              </w:rPr>
              <w:t>Aboriginal and Torres Strait Islander Cultural Awareness and Safety</w:t>
            </w:r>
          </w:p>
        </w:tc>
      </w:tr>
      <w:tr w:rsidR="00EA3489" w:rsidRPr="00CA6A0F" w14:paraId="48CF11D2" w14:textId="77777777" w:rsidTr="00EA3489">
        <w:trPr>
          <w:trHeight w:val="1288"/>
        </w:trPr>
        <w:tc>
          <w:tcPr>
            <w:tcW w:w="3848" w:type="dxa"/>
            <w:gridSpan w:val="2"/>
          </w:tcPr>
          <w:p w14:paraId="37DEF036" w14:textId="5AC1F7B8" w:rsidR="00EA3489" w:rsidRPr="00CA6A0F" w:rsidRDefault="00EA3489" w:rsidP="00743105">
            <w:pPr>
              <w:pStyle w:val="TUbodytext"/>
              <w:rPr>
                <w:rFonts w:asciiTheme="majorHAnsi" w:hAnsiTheme="majorHAnsi" w:cstheme="majorHAnsi"/>
                <w:b/>
              </w:rPr>
            </w:pPr>
            <w:r w:rsidRPr="00CA6A0F">
              <w:rPr>
                <w:rFonts w:asciiTheme="majorHAnsi" w:hAnsiTheme="majorHAnsi" w:cstheme="majorHAnsi"/>
                <w:b/>
              </w:rPr>
              <w:t>Applies to:</w:t>
            </w:r>
            <w:r w:rsidRPr="00CA6A0F">
              <w:rPr>
                <w:rFonts w:asciiTheme="majorHAnsi" w:hAnsiTheme="majorHAnsi" w:cstheme="majorHAnsi"/>
              </w:rPr>
              <w:t xml:space="preserve"> </w:t>
            </w:r>
            <w:r w:rsidR="003146DD" w:rsidRPr="00CA6A0F">
              <w:rPr>
                <w:rFonts w:asciiTheme="majorHAnsi" w:hAnsiTheme="majorHAnsi" w:cstheme="majorHAnsi"/>
              </w:rPr>
              <w:t>Board, all employees and volunteers</w:t>
            </w:r>
          </w:p>
          <w:p w14:paraId="04F4761A" w14:textId="39FF79AA" w:rsidR="00EA3489" w:rsidRPr="00CA6A0F" w:rsidRDefault="003B7E25" w:rsidP="003146DD">
            <w:pPr>
              <w:pStyle w:val="TUbodytext"/>
              <w:rPr>
                <w:rFonts w:asciiTheme="majorHAnsi" w:hAnsiTheme="majorHAnsi" w:cstheme="majorHAnsi"/>
                <w:b/>
              </w:rPr>
            </w:pPr>
            <w:r w:rsidRPr="00CA6A0F">
              <w:rPr>
                <w:rFonts w:asciiTheme="majorHAnsi" w:hAnsiTheme="majorHAnsi" w:cstheme="majorHAnsi"/>
                <w:b/>
              </w:rPr>
              <w:t xml:space="preserve">Implementation </w:t>
            </w:r>
            <w:r w:rsidR="00EA3489" w:rsidRPr="00CA6A0F">
              <w:rPr>
                <w:rFonts w:asciiTheme="majorHAnsi" w:hAnsiTheme="majorHAnsi" w:cstheme="majorHAnsi"/>
                <w:b/>
              </w:rPr>
              <w:t>responsibility:</w:t>
            </w:r>
            <w:r w:rsidR="00EA3489" w:rsidRPr="00CA6A0F">
              <w:rPr>
                <w:rFonts w:asciiTheme="majorHAnsi" w:hAnsiTheme="majorHAnsi" w:cstheme="majorHAnsi"/>
              </w:rPr>
              <w:t xml:space="preserve"> </w:t>
            </w:r>
            <w:r w:rsidR="003146DD" w:rsidRPr="00CA6A0F">
              <w:rPr>
                <w:rFonts w:asciiTheme="majorHAnsi" w:hAnsiTheme="majorHAnsi" w:cstheme="majorHAnsi"/>
              </w:rPr>
              <w:t>Executive Officer</w:t>
            </w:r>
          </w:p>
        </w:tc>
        <w:tc>
          <w:tcPr>
            <w:tcW w:w="5772" w:type="dxa"/>
          </w:tcPr>
          <w:p w14:paraId="30874A86" w14:textId="5E08E18E" w:rsidR="00EA3489" w:rsidRPr="00CA6A0F" w:rsidRDefault="00EA3489" w:rsidP="00743105">
            <w:pPr>
              <w:pStyle w:val="TUbodytext"/>
              <w:rPr>
                <w:rFonts w:asciiTheme="majorHAnsi" w:hAnsiTheme="majorHAnsi" w:cstheme="majorHAnsi"/>
                <w:b/>
              </w:rPr>
            </w:pPr>
            <w:r w:rsidRPr="00CA6A0F">
              <w:rPr>
                <w:rFonts w:asciiTheme="majorHAnsi" w:hAnsiTheme="majorHAnsi" w:cstheme="majorHAnsi"/>
                <w:b/>
              </w:rPr>
              <w:t>Version</w:t>
            </w:r>
            <w:r w:rsidRPr="00CA6A0F">
              <w:rPr>
                <w:rFonts w:asciiTheme="majorHAnsi" w:hAnsiTheme="majorHAnsi" w:cstheme="majorHAnsi"/>
              </w:rPr>
              <w:t xml:space="preserve">: </w:t>
            </w:r>
            <w:r w:rsidR="009A16EC" w:rsidRPr="00CA6A0F">
              <w:rPr>
                <w:rFonts w:asciiTheme="majorHAnsi" w:hAnsiTheme="majorHAnsi" w:cstheme="majorHAnsi"/>
              </w:rPr>
              <w:t>Final</w:t>
            </w:r>
          </w:p>
          <w:p w14:paraId="5142BBB0" w14:textId="4895D220" w:rsidR="00575193" w:rsidRPr="00CA6A0F" w:rsidRDefault="00575193" w:rsidP="00743105">
            <w:pPr>
              <w:pStyle w:val="TUbodytext"/>
              <w:rPr>
                <w:rFonts w:asciiTheme="majorHAnsi" w:hAnsiTheme="majorHAnsi" w:cstheme="majorHAnsi"/>
                <w:b/>
              </w:rPr>
            </w:pPr>
            <w:r w:rsidRPr="00CA6A0F">
              <w:rPr>
                <w:rFonts w:asciiTheme="majorHAnsi" w:hAnsiTheme="majorHAnsi" w:cstheme="majorHAnsi"/>
                <w:b/>
              </w:rPr>
              <w:t>Date approved</w:t>
            </w:r>
            <w:r w:rsidRPr="00CA6A0F">
              <w:rPr>
                <w:rFonts w:asciiTheme="majorHAnsi" w:hAnsiTheme="majorHAnsi" w:cstheme="majorHAnsi"/>
              </w:rPr>
              <w:t>:</w:t>
            </w:r>
            <w:r w:rsidR="00254239" w:rsidRPr="00CA6A0F">
              <w:rPr>
                <w:rFonts w:asciiTheme="majorHAnsi" w:hAnsiTheme="majorHAnsi" w:cstheme="majorHAnsi"/>
              </w:rPr>
              <w:t xml:space="preserve"> </w:t>
            </w:r>
            <w:r w:rsidR="00E92A98">
              <w:rPr>
                <w:rFonts w:asciiTheme="majorHAnsi" w:hAnsiTheme="majorHAnsi" w:cstheme="majorHAnsi"/>
              </w:rPr>
              <w:t>March 2018</w:t>
            </w:r>
          </w:p>
          <w:p w14:paraId="134B3F7B" w14:textId="5894642D" w:rsidR="00575193" w:rsidRPr="00CA6A0F" w:rsidRDefault="00575193" w:rsidP="00E92A98">
            <w:pPr>
              <w:pStyle w:val="TUbodytext"/>
              <w:rPr>
                <w:rFonts w:asciiTheme="majorHAnsi" w:hAnsiTheme="majorHAnsi" w:cstheme="majorHAnsi"/>
                <w:b/>
              </w:rPr>
            </w:pPr>
            <w:r w:rsidRPr="00CA6A0F">
              <w:rPr>
                <w:rFonts w:asciiTheme="majorHAnsi" w:hAnsiTheme="majorHAnsi" w:cstheme="majorHAnsi"/>
                <w:b/>
              </w:rPr>
              <w:t>Next review date:</w:t>
            </w:r>
            <w:r w:rsidRPr="00CA6A0F">
              <w:rPr>
                <w:rFonts w:asciiTheme="majorHAnsi" w:hAnsiTheme="majorHAnsi" w:cstheme="majorHAnsi"/>
              </w:rPr>
              <w:t xml:space="preserve"> </w:t>
            </w:r>
            <w:r w:rsidR="00E92A98">
              <w:rPr>
                <w:rFonts w:asciiTheme="majorHAnsi" w:hAnsiTheme="majorHAnsi" w:cstheme="majorHAnsi"/>
              </w:rPr>
              <w:t>March 2021</w:t>
            </w:r>
          </w:p>
        </w:tc>
      </w:tr>
      <w:tr w:rsidR="00575193" w:rsidRPr="00CA6A0F" w14:paraId="3595D5A1" w14:textId="77777777" w:rsidTr="00500C9C">
        <w:tc>
          <w:tcPr>
            <w:tcW w:w="3848" w:type="dxa"/>
            <w:gridSpan w:val="2"/>
          </w:tcPr>
          <w:p w14:paraId="34F2E287" w14:textId="02BCF4AD" w:rsidR="00575193" w:rsidRPr="00CA6A0F" w:rsidRDefault="00575193" w:rsidP="00743105">
            <w:pPr>
              <w:pStyle w:val="TUbodytext"/>
              <w:rPr>
                <w:rFonts w:asciiTheme="majorHAnsi" w:hAnsiTheme="majorHAnsi" w:cstheme="majorHAnsi"/>
                <w:b/>
              </w:rPr>
            </w:pPr>
            <w:r w:rsidRPr="00CA6A0F">
              <w:rPr>
                <w:rFonts w:asciiTheme="majorHAnsi" w:hAnsiTheme="majorHAnsi" w:cstheme="majorHAnsi"/>
                <w:b/>
              </w:rPr>
              <w:t>Standards or other external requirements</w:t>
            </w:r>
          </w:p>
        </w:tc>
        <w:tc>
          <w:tcPr>
            <w:tcW w:w="5772" w:type="dxa"/>
          </w:tcPr>
          <w:p w14:paraId="240AFA8C" w14:textId="543A97A3" w:rsidR="003146DD" w:rsidRPr="00CA6A0F" w:rsidRDefault="003146DD" w:rsidP="00ED68CE">
            <w:pPr>
              <w:pStyle w:val="TUbodytext"/>
              <w:keepLines/>
              <w:rPr>
                <w:rFonts w:asciiTheme="majorHAnsi" w:hAnsiTheme="majorHAnsi" w:cstheme="majorHAnsi"/>
              </w:rPr>
            </w:pPr>
            <w:r w:rsidRPr="00CA6A0F">
              <w:rPr>
                <w:rFonts w:asciiTheme="majorHAnsi" w:hAnsiTheme="majorHAnsi" w:cstheme="majorHAnsi"/>
              </w:rPr>
              <w:t>NACLC Accreditation Criteria A 1 Organisational management</w:t>
            </w:r>
          </w:p>
          <w:p w14:paraId="6AF9D862" w14:textId="2CD3D0AF" w:rsidR="00C87B75" w:rsidRPr="00CA6A0F" w:rsidRDefault="003146DD" w:rsidP="00ED68CE">
            <w:pPr>
              <w:pStyle w:val="TUbodytext"/>
              <w:keepLines/>
              <w:rPr>
                <w:rFonts w:asciiTheme="majorHAnsi" w:hAnsiTheme="majorHAnsi" w:cstheme="majorHAnsi"/>
              </w:rPr>
            </w:pPr>
            <w:r w:rsidRPr="00CA6A0F">
              <w:rPr>
                <w:rFonts w:asciiTheme="majorHAnsi" w:hAnsiTheme="majorHAnsi" w:cstheme="majorHAnsi"/>
              </w:rPr>
              <w:t>NACLC Accreditation Criteria D 1</w:t>
            </w:r>
            <w:r w:rsidR="0001750D" w:rsidRPr="00CA6A0F">
              <w:rPr>
                <w:rFonts w:asciiTheme="majorHAnsi" w:hAnsiTheme="majorHAnsi" w:cstheme="majorHAnsi"/>
              </w:rPr>
              <w:t>.1</w:t>
            </w:r>
            <w:r w:rsidRPr="00CA6A0F">
              <w:rPr>
                <w:rFonts w:asciiTheme="majorHAnsi" w:hAnsiTheme="majorHAnsi" w:cstheme="majorHAnsi"/>
              </w:rPr>
              <w:t xml:space="preserve"> Accessibility</w:t>
            </w:r>
          </w:p>
          <w:p w14:paraId="48530FE6" w14:textId="29490CD6" w:rsidR="0001750D" w:rsidRPr="00CA6A0F" w:rsidRDefault="0001750D" w:rsidP="0001750D">
            <w:pPr>
              <w:pStyle w:val="TUbodytext"/>
              <w:rPr>
                <w:rFonts w:asciiTheme="majorHAnsi" w:hAnsiTheme="majorHAnsi" w:cstheme="majorHAnsi"/>
              </w:rPr>
            </w:pPr>
            <w:r w:rsidRPr="00CA6A0F">
              <w:rPr>
                <w:rFonts w:asciiTheme="majorHAnsi" w:hAnsiTheme="majorHAnsi" w:cstheme="majorHAnsi"/>
              </w:rPr>
              <w:t>NACLC Accreditation Criteria D 1.2 Cultural Safety for Aboriginal Staff and Clients</w:t>
            </w:r>
          </w:p>
        </w:tc>
      </w:tr>
      <w:tr w:rsidR="00575193" w:rsidRPr="00CA6A0F" w14:paraId="3025C982" w14:textId="77777777" w:rsidTr="00500C9C">
        <w:tc>
          <w:tcPr>
            <w:tcW w:w="3848" w:type="dxa"/>
            <w:gridSpan w:val="2"/>
          </w:tcPr>
          <w:p w14:paraId="0E087408" w14:textId="260338B6" w:rsidR="00575193" w:rsidRPr="00CA6A0F" w:rsidRDefault="00575193" w:rsidP="00743105">
            <w:pPr>
              <w:pStyle w:val="TUbodytext"/>
              <w:rPr>
                <w:rFonts w:asciiTheme="majorHAnsi" w:hAnsiTheme="majorHAnsi" w:cstheme="majorHAnsi"/>
                <w:b/>
              </w:rPr>
            </w:pPr>
            <w:r w:rsidRPr="00CA6A0F">
              <w:rPr>
                <w:rFonts w:asciiTheme="majorHAnsi" w:hAnsiTheme="majorHAnsi" w:cstheme="majorHAnsi"/>
                <w:b/>
              </w:rPr>
              <w:t>Legislation or other requirements</w:t>
            </w:r>
          </w:p>
        </w:tc>
        <w:tc>
          <w:tcPr>
            <w:tcW w:w="5772" w:type="dxa"/>
          </w:tcPr>
          <w:p w14:paraId="22C30F11" w14:textId="66D82CB1" w:rsidR="00025012" w:rsidRPr="00CA6A0F" w:rsidRDefault="00025012" w:rsidP="00967669">
            <w:pPr>
              <w:pStyle w:val="TUbodytext"/>
              <w:rPr>
                <w:rFonts w:asciiTheme="majorHAnsi" w:hAnsiTheme="majorHAnsi" w:cstheme="majorHAnsi"/>
              </w:rPr>
            </w:pPr>
          </w:p>
        </w:tc>
      </w:tr>
      <w:tr w:rsidR="00575193" w:rsidRPr="00CA6A0F" w14:paraId="092519AB" w14:textId="77777777" w:rsidTr="00500C9C">
        <w:tc>
          <w:tcPr>
            <w:tcW w:w="3848" w:type="dxa"/>
            <w:gridSpan w:val="2"/>
          </w:tcPr>
          <w:p w14:paraId="67D045A5" w14:textId="3AB92A2E" w:rsidR="00575193" w:rsidRPr="00CA6A0F" w:rsidRDefault="00575193" w:rsidP="00743105">
            <w:pPr>
              <w:pStyle w:val="TUbodytext"/>
              <w:rPr>
                <w:rFonts w:asciiTheme="majorHAnsi" w:hAnsiTheme="majorHAnsi" w:cstheme="majorHAnsi"/>
                <w:b/>
              </w:rPr>
            </w:pPr>
            <w:r w:rsidRPr="00CA6A0F">
              <w:rPr>
                <w:rFonts w:asciiTheme="majorHAnsi" w:hAnsiTheme="majorHAnsi" w:cstheme="majorHAnsi"/>
                <w:b/>
              </w:rPr>
              <w:t>Contractual obligations</w:t>
            </w:r>
          </w:p>
        </w:tc>
        <w:tc>
          <w:tcPr>
            <w:tcW w:w="5772" w:type="dxa"/>
          </w:tcPr>
          <w:p w14:paraId="35CCB413" w14:textId="031A8AF0" w:rsidR="00575193" w:rsidRPr="00CA6A0F" w:rsidRDefault="009A16EC" w:rsidP="009710EE">
            <w:pPr>
              <w:pStyle w:val="TUbodytext"/>
              <w:keepLines/>
              <w:rPr>
                <w:rFonts w:asciiTheme="majorHAnsi" w:hAnsiTheme="majorHAnsi" w:cstheme="majorHAnsi"/>
              </w:rPr>
            </w:pPr>
            <w:r w:rsidRPr="00CA6A0F">
              <w:rPr>
                <w:rFonts w:asciiTheme="majorHAnsi" w:hAnsiTheme="majorHAnsi" w:cstheme="majorHAnsi"/>
              </w:rPr>
              <w:t>N/A</w:t>
            </w:r>
          </w:p>
        </w:tc>
      </w:tr>
    </w:tbl>
    <w:p w14:paraId="233A755E" w14:textId="77777777" w:rsidR="00967669" w:rsidRPr="00CA6A0F" w:rsidRDefault="00967669" w:rsidP="00C17B4D">
      <w:pPr>
        <w:pStyle w:val="Heading1"/>
        <w:rPr>
          <w:rFonts w:asciiTheme="majorHAnsi" w:hAnsiTheme="majorHAnsi" w:cstheme="majorHAnsi"/>
        </w:rPr>
      </w:pPr>
    </w:p>
    <w:p w14:paraId="7BA4C618" w14:textId="77777777" w:rsidR="00715B10" w:rsidRPr="00CA6A0F" w:rsidRDefault="00715B10" w:rsidP="00C17B4D">
      <w:pPr>
        <w:pStyle w:val="Heading1"/>
        <w:rPr>
          <w:rFonts w:asciiTheme="majorHAnsi" w:hAnsiTheme="majorHAnsi" w:cstheme="majorHAnsi"/>
        </w:rPr>
      </w:pPr>
      <w:r w:rsidRPr="00CA6A0F">
        <w:rPr>
          <w:rFonts w:asciiTheme="majorHAnsi" w:hAnsiTheme="majorHAnsi" w:cstheme="majorHAnsi"/>
        </w:rPr>
        <w:t>1 Purpose</w:t>
      </w:r>
    </w:p>
    <w:p w14:paraId="3B37C351" w14:textId="77777777" w:rsidR="00AE4AB6" w:rsidRPr="00CA6A0F" w:rsidRDefault="00AE4AB6" w:rsidP="00FA5784">
      <w:pPr>
        <w:pStyle w:val="TUbodytext"/>
        <w:spacing w:before="0" w:after="0"/>
        <w:rPr>
          <w:rFonts w:asciiTheme="majorHAnsi" w:hAnsiTheme="majorHAnsi" w:cstheme="majorHAnsi"/>
        </w:rPr>
      </w:pPr>
    </w:p>
    <w:p w14:paraId="50BFB7A2" w14:textId="4E8FF375" w:rsidR="00AE4AB6" w:rsidRPr="00CA6A0F" w:rsidRDefault="00643789" w:rsidP="00FA5784">
      <w:pPr>
        <w:pStyle w:val="TUbodytext"/>
        <w:spacing w:before="0" w:after="0"/>
        <w:rPr>
          <w:rFonts w:asciiTheme="majorHAnsi" w:hAnsiTheme="majorHAnsi" w:cstheme="majorHAnsi"/>
        </w:rPr>
      </w:pPr>
      <w:r w:rsidRPr="00CA6A0F">
        <w:rPr>
          <w:rFonts w:asciiTheme="majorHAnsi" w:hAnsiTheme="majorHAnsi" w:cstheme="majorHAnsi"/>
        </w:rPr>
        <w:t xml:space="preserve">The TU recognises the </w:t>
      </w:r>
      <w:r w:rsidR="00AE4AB6" w:rsidRPr="00CA6A0F">
        <w:rPr>
          <w:rFonts w:asciiTheme="majorHAnsi" w:hAnsiTheme="majorHAnsi" w:cstheme="majorHAnsi"/>
        </w:rPr>
        <w:t>Aboriginal and T</w:t>
      </w:r>
      <w:r w:rsidRPr="00CA6A0F">
        <w:rPr>
          <w:rFonts w:asciiTheme="majorHAnsi" w:hAnsiTheme="majorHAnsi" w:cstheme="majorHAnsi"/>
        </w:rPr>
        <w:t>orres Strait Islander people are</w:t>
      </w:r>
      <w:r w:rsidR="00AE4AB6" w:rsidRPr="00CA6A0F">
        <w:rPr>
          <w:rFonts w:asciiTheme="majorHAnsi" w:hAnsiTheme="majorHAnsi" w:cstheme="majorHAnsi"/>
        </w:rPr>
        <w:t xml:space="preserve"> the First Peoples of Australia</w:t>
      </w:r>
      <w:r w:rsidRPr="00CA6A0F">
        <w:rPr>
          <w:rFonts w:asciiTheme="majorHAnsi" w:hAnsiTheme="majorHAnsi" w:cstheme="majorHAnsi"/>
        </w:rPr>
        <w:t xml:space="preserve">. </w:t>
      </w:r>
      <w:r w:rsidR="009549CF" w:rsidRPr="00CA6A0F">
        <w:rPr>
          <w:rFonts w:asciiTheme="majorHAnsi" w:hAnsiTheme="majorHAnsi" w:cstheme="majorHAnsi"/>
        </w:rPr>
        <w:t>In keeping with the NSW Aboriginal Land Rights Act 1983, t</w:t>
      </w:r>
      <w:r w:rsidR="00AE4AB6" w:rsidRPr="00CA6A0F">
        <w:rPr>
          <w:rFonts w:asciiTheme="majorHAnsi" w:hAnsiTheme="majorHAnsi" w:cstheme="majorHAnsi"/>
        </w:rPr>
        <w:t xml:space="preserve">he TU acknowledges that </w:t>
      </w:r>
      <w:r w:rsidRPr="00CA6A0F">
        <w:rPr>
          <w:rFonts w:asciiTheme="majorHAnsi" w:hAnsiTheme="majorHAnsi" w:cstheme="majorHAnsi"/>
        </w:rPr>
        <w:t xml:space="preserve">the land </w:t>
      </w:r>
      <w:r w:rsidR="00AE4AB6" w:rsidRPr="00CA6A0F">
        <w:rPr>
          <w:rFonts w:asciiTheme="majorHAnsi" w:hAnsiTheme="majorHAnsi" w:cstheme="majorHAnsi"/>
        </w:rPr>
        <w:t>in the State</w:t>
      </w:r>
      <w:r w:rsidR="0076725A" w:rsidRPr="00CA6A0F">
        <w:rPr>
          <w:rFonts w:asciiTheme="majorHAnsi" w:hAnsiTheme="majorHAnsi" w:cstheme="majorHAnsi"/>
        </w:rPr>
        <w:t xml:space="preserve"> of</w:t>
      </w:r>
      <w:r w:rsidR="00AE4AB6" w:rsidRPr="00CA6A0F">
        <w:rPr>
          <w:rFonts w:asciiTheme="majorHAnsi" w:hAnsiTheme="majorHAnsi" w:cstheme="majorHAnsi"/>
        </w:rPr>
        <w:t xml:space="preserve"> New South Wales is of spiritual, social, cultural and economic importance to Aboriginal people, the traditional owners of the land. It</w:t>
      </w:r>
      <w:r w:rsidRPr="00CA6A0F">
        <w:rPr>
          <w:rFonts w:asciiTheme="majorHAnsi" w:hAnsiTheme="majorHAnsi" w:cstheme="majorHAnsi"/>
        </w:rPr>
        <w:t xml:space="preserve"> is fitting to acknowledge the </w:t>
      </w:r>
      <w:r w:rsidR="00AE4AB6" w:rsidRPr="00CA6A0F">
        <w:rPr>
          <w:rFonts w:asciiTheme="majorHAnsi" w:hAnsiTheme="majorHAnsi" w:cstheme="majorHAnsi"/>
        </w:rPr>
        <w:t xml:space="preserve">importance which </w:t>
      </w:r>
      <w:r w:rsidRPr="00CA6A0F">
        <w:rPr>
          <w:rFonts w:asciiTheme="majorHAnsi" w:hAnsiTheme="majorHAnsi" w:cstheme="majorHAnsi"/>
        </w:rPr>
        <w:t>all land in the S</w:t>
      </w:r>
      <w:r w:rsidR="00AE4AB6" w:rsidRPr="00CA6A0F">
        <w:rPr>
          <w:rFonts w:asciiTheme="majorHAnsi" w:hAnsiTheme="majorHAnsi" w:cstheme="majorHAnsi"/>
        </w:rPr>
        <w:t xml:space="preserve">tate of New South Wales </w:t>
      </w:r>
      <w:r w:rsidRPr="00CA6A0F">
        <w:rPr>
          <w:rFonts w:asciiTheme="majorHAnsi" w:hAnsiTheme="majorHAnsi" w:cstheme="majorHAnsi"/>
        </w:rPr>
        <w:t>h</w:t>
      </w:r>
      <w:r w:rsidR="00AE4AB6" w:rsidRPr="00CA6A0F">
        <w:rPr>
          <w:rFonts w:asciiTheme="majorHAnsi" w:hAnsiTheme="majorHAnsi" w:cstheme="majorHAnsi"/>
        </w:rPr>
        <w:t>as for the Aboriginal people and the need of</w:t>
      </w:r>
      <w:r w:rsidRPr="00CA6A0F">
        <w:rPr>
          <w:rFonts w:asciiTheme="majorHAnsi" w:hAnsiTheme="majorHAnsi" w:cstheme="majorHAnsi"/>
        </w:rPr>
        <w:t xml:space="preserve"> the Aboriginal people for the l</w:t>
      </w:r>
      <w:r w:rsidR="00AE4AB6" w:rsidRPr="00CA6A0F">
        <w:rPr>
          <w:rFonts w:asciiTheme="majorHAnsi" w:hAnsiTheme="majorHAnsi" w:cstheme="majorHAnsi"/>
        </w:rPr>
        <w:t>and. The TU acknowledges that as a result of past Government decisions, the amount of land set aside for Aboriginal people has been progressively reduced</w:t>
      </w:r>
      <w:r w:rsidRPr="00CA6A0F">
        <w:rPr>
          <w:rFonts w:asciiTheme="majorHAnsi" w:hAnsiTheme="majorHAnsi" w:cstheme="majorHAnsi"/>
        </w:rPr>
        <w:t xml:space="preserve"> with</w:t>
      </w:r>
      <w:r w:rsidR="00AE4AB6" w:rsidRPr="00CA6A0F">
        <w:rPr>
          <w:rFonts w:asciiTheme="majorHAnsi" w:hAnsiTheme="majorHAnsi" w:cstheme="majorHAnsi"/>
        </w:rPr>
        <w:t>ou</w:t>
      </w:r>
      <w:r w:rsidRPr="00CA6A0F">
        <w:rPr>
          <w:rFonts w:asciiTheme="majorHAnsi" w:hAnsiTheme="majorHAnsi" w:cstheme="majorHAnsi"/>
        </w:rPr>
        <w:t>t</w:t>
      </w:r>
      <w:r w:rsidR="00AE4AB6" w:rsidRPr="00CA6A0F">
        <w:rPr>
          <w:rFonts w:asciiTheme="majorHAnsi" w:hAnsiTheme="majorHAnsi" w:cstheme="majorHAnsi"/>
        </w:rPr>
        <w:t xml:space="preserve"> compensation</w:t>
      </w:r>
      <w:r w:rsidRPr="00CA6A0F">
        <w:rPr>
          <w:rFonts w:asciiTheme="majorHAnsi" w:hAnsiTheme="majorHAnsi" w:cstheme="majorHAnsi"/>
        </w:rPr>
        <w:t>.</w:t>
      </w:r>
    </w:p>
    <w:p w14:paraId="580A237E" w14:textId="1807C28C" w:rsidR="00000F22" w:rsidRPr="00CA6A0F" w:rsidRDefault="00E64FEF" w:rsidP="00FA5784">
      <w:pPr>
        <w:pStyle w:val="TUbodytext"/>
        <w:spacing w:before="0" w:after="0"/>
        <w:rPr>
          <w:rFonts w:asciiTheme="majorHAnsi" w:hAnsiTheme="majorHAnsi" w:cstheme="majorHAnsi"/>
        </w:rPr>
      </w:pPr>
      <w:r w:rsidRPr="00CA6A0F">
        <w:rPr>
          <w:rFonts w:asciiTheme="majorHAnsi" w:hAnsiTheme="majorHAnsi" w:cstheme="majorHAnsi"/>
        </w:rPr>
        <w:t xml:space="preserve">  </w:t>
      </w:r>
    </w:p>
    <w:p w14:paraId="398D0D45" w14:textId="68070A28" w:rsidR="009549CF" w:rsidRPr="00CA6A0F" w:rsidRDefault="00C54B2F" w:rsidP="009549CF">
      <w:pPr>
        <w:pStyle w:val="TUbodytext"/>
        <w:spacing w:before="0" w:after="0"/>
        <w:rPr>
          <w:rFonts w:asciiTheme="majorHAnsi" w:hAnsiTheme="majorHAnsi" w:cstheme="majorHAnsi"/>
        </w:rPr>
      </w:pPr>
      <w:r w:rsidRPr="00CA6A0F">
        <w:rPr>
          <w:rFonts w:asciiTheme="majorHAnsi" w:hAnsiTheme="majorHAnsi" w:cstheme="majorHAnsi"/>
        </w:rPr>
        <w:t>Aboriginal</w:t>
      </w:r>
      <w:r w:rsidR="00B70345">
        <w:rPr>
          <w:rFonts w:asciiTheme="majorHAnsi" w:hAnsiTheme="majorHAnsi" w:cstheme="majorHAnsi"/>
        </w:rPr>
        <w:t xml:space="preserve"> and Torres Strait Islanders</w:t>
      </w:r>
      <w:r w:rsidRPr="00CA6A0F">
        <w:rPr>
          <w:rFonts w:asciiTheme="majorHAnsi" w:hAnsiTheme="majorHAnsi" w:cstheme="majorHAnsi"/>
        </w:rPr>
        <w:t xml:space="preserve"> also are over-represented in NSW renter households.</w:t>
      </w:r>
      <w:r w:rsidR="008A7B86" w:rsidRPr="00CA6A0F">
        <w:rPr>
          <w:rFonts w:asciiTheme="majorHAnsi" w:hAnsiTheme="majorHAnsi" w:cstheme="majorHAnsi"/>
        </w:rPr>
        <w:t xml:space="preserve"> </w:t>
      </w:r>
      <w:r w:rsidR="009549CF" w:rsidRPr="00CA6A0F">
        <w:rPr>
          <w:rFonts w:asciiTheme="majorHAnsi" w:hAnsiTheme="majorHAnsi" w:cstheme="majorHAnsi"/>
        </w:rPr>
        <w:t xml:space="preserve">The TU acknowledges the present and historical disadvantage faced by Aboriginal </w:t>
      </w:r>
      <w:r w:rsidR="00443738" w:rsidRPr="00CA6A0F">
        <w:rPr>
          <w:rFonts w:asciiTheme="majorHAnsi" w:hAnsiTheme="majorHAnsi" w:cstheme="majorHAnsi"/>
        </w:rPr>
        <w:t xml:space="preserve">and </w:t>
      </w:r>
      <w:r w:rsidR="009549CF" w:rsidRPr="00CA6A0F">
        <w:rPr>
          <w:rFonts w:asciiTheme="majorHAnsi" w:hAnsiTheme="majorHAnsi" w:cstheme="majorHAnsi"/>
        </w:rPr>
        <w:t xml:space="preserve">Torres Strait Islander People and the role of government policies, past and present and racism throughout Australia in creating this disadvantage and the impact of this disadvantage on tenancy and housing issues. </w:t>
      </w:r>
      <w:r w:rsidRPr="00CA6A0F">
        <w:rPr>
          <w:rFonts w:asciiTheme="majorHAnsi" w:hAnsiTheme="majorHAnsi" w:cstheme="majorHAnsi"/>
        </w:rPr>
        <w:t xml:space="preserve">The TU acknowledges that </w:t>
      </w:r>
      <w:r w:rsidR="00443738" w:rsidRPr="00CA6A0F">
        <w:rPr>
          <w:rFonts w:asciiTheme="majorHAnsi" w:hAnsiTheme="majorHAnsi" w:cstheme="majorHAnsi"/>
        </w:rPr>
        <w:t xml:space="preserve">within the housing system there is </w:t>
      </w:r>
      <w:r w:rsidRPr="00CA6A0F">
        <w:rPr>
          <w:rFonts w:asciiTheme="majorHAnsi" w:hAnsiTheme="majorHAnsi" w:cstheme="majorHAnsi"/>
        </w:rPr>
        <w:t xml:space="preserve">a lack of </w:t>
      </w:r>
      <w:r w:rsidR="00443738" w:rsidRPr="00CA6A0F">
        <w:rPr>
          <w:rFonts w:asciiTheme="majorHAnsi" w:hAnsiTheme="majorHAnsi" w:cstheme="majorHAnsi"/>
        </w:rPr>
        <w:t>appropriate housing for Aboriginal and Torres Strait Islander</w:t>
      </w:r>
      <w:r w:rsidR="00CA6A0F" w:rsidRPr="00CA6A0F">
        <w:rPr>
          <w:rFonts w:asciiTheme="majorHAnsi" w:hAnsiTheme="majorHAnsi" w:cstheme="majorHAnsi"/>
        </w:rPr>
        <w:t xml:space="preserve"> people that nurtu</w:t>
      </w:r>
      <w:r w:rsidR="005B7070">
        <w:rPr>
          <w:rFonts w:asciiTheme="majorHAnsi" w:hAnsiTheme="majorHAnsi" w:cstheme="majorHAnsi"/>
        </w:rPr>
        <w:t>res kinship ideology of culture</w:t>
      </w:r>
      <w:r w:rsidR="00443738" w:rsidRPr="00CA6A0F">
        <w:rPr>
          <w:rFonts w:asciiTheme="majorHAnsi" w:hAnsiTheme="majorHAnsi" w:cstheme="majorHAnsi"/>
        </w:rPr>
        <w:t xml:space="preserve">, and </w:t>
      </w:r>
      <w:r w:rsidRPr="00CA6A0F">
        <w:rPr>
          <w:rFonts w:asciiTheme="majorHAnsi" w:hAnsiTheme="majorHAnsi" w:cstheme="majorHAnsi"/>
        </w:rPr>
        <w:t>support for non-tenancy issues such as mental health issues, financial hardship and budgeting issues, substance dependence, family violence and disabilities</w:t>
      </w:r>
      <w:r w:rsidR="00443738" w:rsidRPr="00CA6A0F">
        <w:rPr>
          <w:rFonts w:asciiTheme="majorHAnsi" w:hAnsiTheme="majorHAnsi" w:cstheme="majorHAnsi"/>
        </w:rPr>
        <w:t>.</w:t>
      </w:r>
      <w:r w:rsidRPr="00CA6A0F">
        <w:rPr>
          <w:rFonts w:asciiTheme="majorHAnsi" w:hAnsiTheme="majorHAnsi" w:cstheme="majorHAnsi"/>
        </w:rPr>
        <w:t xml:space="preserve"> </w:t>
      </w:r>
      <w:r w:rsidR="00443738" w:rsidRPr="00CA6A0F">
        <w:rPr>
          <w:rFonts w:asciiTheme="majorHAnsi" w:hAnsiTheme="majorHAnsi" w:cstheme="majorHAnsi"/>
        </w:rPr>
        <w:t xml:space="preserve">These systemic issues </w:t>
      </w:r>
      <w:r w:rsidRPr="00CA6A0F">
        <w:rPr>
          <w:rFonts w:asciiTheme="majorHAnsi" w:hAnsiTheme="majorHAnsi" w:cstheme="majorHAnsi"/>
        </w:rPr>
        <w:t xml:space="preserve">can often lead to an escalation of tenancy issues and result in tenants </w:t>
      </w:r>
      <w:r w:rsidR="00443738" w:rsidRPr="00CA6A0F">
        <w:rPr>
          <w:rFonts w:asciiTheme="majorHAnsi" w:hAnsiTheme="majorHAnsi" w:cstheme="majorHAnsi"/>
        </w:rPr>
        <w:t>being evicted</w:t>
      </w:r>
      <w:r w:rsidRPr="00CA6A0F">
        <w:rPr>
          <w:rFonts w:asciiTheme="majorHAnsi" w:hAnsiTheme="majorHAnsi" w:cstheme="majorHAnsi"/>
        </w:rPr>
        <w:t xml:space="preserve"> and/or suffering other negative outcomes such as accruing large </w:t>
      </w:r>
      <w:r w:rsidR="00443738" w:rsidRPr="00CA6A0F">
        <w:rPr>
          <w:rFonts w:asciiTheme="majorHAnsi" w:hAnsiTheme="majorHAnsi" w:cstheme="majorHAnsi"/>
        </w:rPr>
        <w:t>debts</w:t>
      </w:r>
      <w:r w:rsidRPr="00CA6A0F">
        <w:rPr>
          <w:rFonts w:asciiTheme="majorHAnsi" w:hAnsiTheme="majorHAnsi" w:cstheme="majorHAnsi"/>
        </w:rPr>
        <w:t xml:space="preserve">. </w:t>
      </w:r>
    </w:p>
    <w:p w14:paraId="072B29F6" w14:textId="77777777" w:rsidR="009549CF" w:rsidRPr="00CA6A0F" w:rsidRDefault="009549CF" w:rsidP="00000F22">
      <w:pPr>
        <w:pStyle w:val="TUbodytext"/>
        <w:spacing w:before="0" w:after="0"/>
        <w:rPr>
          <w:rFonts w:asciiTheme="majorHAnsi" w:hAnsiTheme="majorHAnsi" w:cstheme="majorHAnsi"/>
        </w:rPr>
      </w:pPr>
    </w:p>
    <w:p w14:paraId="3ED50CC8" w14:textId="1CB03645" w:rsidR="00F6416F" w:rsidRPr="00CA6A0F" w:rsidRDefault="00DA6FC8" w:rsidP="00FA5784">
      <w:pPr>
        <w:pStyle w:val="TUbodytext"/>
        <w:spacing w:before="0" w:after="0"/>
        <w:rPr>
          <w:rFonts w:asciiTheme="majorHAnsi" w:hAnsiTheme="majorHAnsi" w:cstheme="majorHAnsi"/>
        </w:rPr>
      </w:pPr>
      <w:r w:rsidRPr="00CA6A0F">
        <w:rPr>
          <w:rFonts w:asciiTheme="majorHAnsi" w:hAnsiTheme="majorHAnsi" w:cstheme="majorHAnsi"/>
        </w:rPr>
        <w:t xml:space="preserve">The TU recognises that acknowledgement must be accompanied by action to redress these policies and </w:t>
      </w:r>
      <w:r w:rsidR="00D96671" w:rsidRPr="00CA6A0F">
        <w:rPr>
          <w:rFonts w:asciiTheme="majorHAnsi" w:hAnsiTheme="majorHAnsi" w:cstheme="majorHAnsi"/>
        </w:rPr>
        <w:t>ameliorate their impact. This policy details what the TU will do within its mandate and resources.</w:t>
      </w:r>
    </w:p>
    <w:p w14:paraId="19ABAE36" w14:textId="7D1093C9" w:rsidR="00D96671" w:rsidRPr="00CA6A0F" w:rsidRDefault="00D96671" w:rsidP="00FA5784">
      <w:pPr>
        <w:pStyle w:val="TUbodytext"/>
        <w:spacing w:before="0" w:after="0"/>
        <w:rPr>
          <w:rFonts w:asciiTheme="majorHAnsi" w:hAnsiTheme="majorHAnsi" w:cstheme="majorHAnsi"/>
        </w:rPr>
      </w:pPr>
    </w:p>
    <w:p w14:paraId="64DA93E3" w14:textId="77777777" w:rsidR="00F6416F" w:rsidRPr="00CA6A0F" w:rsidRDefault="00F6416F" w:rsidP="00F6416F">
      <w:pPr>
        <w:pStyle w:val="TUbodytext"/>
        <w:spacing w:before="0" w:after="0"/>
        <w:rPr>
          <w:rFonts w:asciiTheme="majorHAnsi" w:hAnsiTheme="majorHAnsi" w:cstheme="majorHAnsi"/>
        </w:rPr>
      </w:pPr>
      <w:r w:rsidRPr="00CA6A0F">
        <w:rPr>
          <w:rFonts w:asciiTheme="majorHAnsi" w:hAnsiTheme="majorHAnsi" w:cstheme="majorHAnsi"/>
        </w:rPr>
        <w:lastRenderedPageBreak/>
        <w:t>The organisational policies and procedures of the TU are designed to provide guidance to Board members, employees and volunteers in performing their roles. All Board members, employees and volunteers undertake to comply with these policies when they take up their roles with the TU.</w:t>
      </w:r>
    </w:p>
    <w:p w14:paraId="459AE26E" w14:textId="77777777" w:rsidR="00D96671" w:rsidRPr="00CA6A0F" w:rsidRDefault="00D96671" w:rsidP="00FA5784">
      <w:pPr>
        <w:pStyle w:val="TUbodytext"/>
        <w:spacing w:before="0" w:after="0"/>
        <w:rPr>
          <w:rFonts w:asciiTheme="majorHAnsi" w:hAnsiTheme="majorHAnsi" w:cstheme="majorHAnsi"/>
        </w:rPr>
      </w:pPr>
    </w:p>
    <w:p w14:paraId="61ED82E8" w14:textId="6FC3DC2A" w:rsidR="00D96671" w:rsidRPr="00CA6A0F" w:rsidRDefault="00D96671" w:rsidP="00C17B4D">
      <w:pPr>
        <w:pStyle w:val="Heading1"/>
        <w:rPr>
          <w:rFonts w:asciiTheme="majorHAnsi" w:hAnsiTheme="majorHAnsi" w:cstheme="majorHAnsi"/>
        </w:rPr>
      </w:pPr>
      <w:r w:rsidRPr="00CA6A0F">
        <w:rPr>
          <w:rFonts w:asciiTheme="majorHAnsi" w:hAnsiTheme="majorHAnsi" w:cstheme="majorHAnsi"/>
        </w:rPr>
        <w:t>2 Cultural Safety</w:t>
      </w:r>
    </w:p>
    <w:p w14:paraId="47E227F3" w14:textId="60451551" w:rsidR="00D96671" w:rsidRPr="00CA6A0F" w:rsidRDefault="00D96671" w:rsidP="00FA5784">
      <w:pPr>
        <w:pStyle w:val="TUbodytext"/>
        <w:spacing w:before="0" w:after="0"/>
        <w:rPr>
          <w:rFonts w:asciiTheme="majorHAnsi" w:hAnsiTheme="majorHAnsi" w:cstheme="majorHAnsi"/>
        </w:rPr>
      </w:pPr>
      <w:r w:rsidRPr="00CA6A0F">
        <w:rPr>
          <w:rFonts w:asciiTheme="majorHAnsi" w:hAnsiTheme="majorHAnsi" w:cstheme="majorHAnsi"/>
        </w:rPr>
        <w:t xml:space="preserve">The TU works to achieve cultural safety for Aboriginal and Torres Strait Islander </w:t>
      </w:r>
      <w:r w:rsidR="005B7070">
        <w:rPr>
          <w:rFonts w:asciiTheme="majorHAnsi" w:hAnsiTheme="majorHAnsi" w:cstheme="majorHAnsi"/>
        </w:rPr>
        <w:t>clients and staff.</w:t>
      </w:r>
      <w:r w:rsidRPr="00CA6A0F">
        <w:rPr>
          <w:rFonts w:asciiTheme="majorHAnsi" w:hAnsiTheme="majorHAnsi" w:cstheme="majorHAnsi"/>
        </w:rPr>
        <w:t xml:space="preserve"> </w:t>
      </w:r>
    </w:p>
    <w:p w14:paraId="4A23764F" w14:textId="77777777" w:rsidR="00D96671" w:rsidRPr="00CA6A0F" w:rsidRDefault="00D96671" w:rsidP="00FA5784">
      <w:pPr>
        <w:pStyle w:val="TUbodytext"/>
        <w:spacing w:before="0" w:after="0"/>
        <w:rPr>
          <w:rFonts w:asciiTheme="majorHAnsi" w:hAnsiTheme="majorHAnsi" w:cstheme="majorHAnsi"/>
        </w:rPr>
      </w:pPr>
    </w:p>
    <w:p w14:paraId="0C79A6F0" w14:textId="3CFE1383" w:rsidR="00D96671" w:rsidRPr="00CA6A0F" w:rsidRDefault="00D96671" w:rsidP="00FA5784">
      <w:pPr>
        <w:pStyle w:val="TUbodytext"/>
        <w:spacing w:before="0" w:after="0"/>
        <w:rPr>
          <w:rFonts w:asciiTheme="majorHAnsi" w:hAnsiTheme="majorHAnsi" w:cstheme="majorHAnsi"/>
        </w:rPr>
      </w:pPr>
      <w:r w:rsidRPr="00CA6A0F">
        <w:rPr>
          <w:rFonts w:asciiTheme="majorHAnsi" w:hAnsiTheme="majorHAnsi" w:cstheme="majorHAnsi"/>
        </w:rPr>
        <w:t>The TU takes cultural safety to mean ‘an environment that is spiritually, socially and emotionally safe for people; where t</w:t>
      </w:r>
      <w:r w:rsidR="00B70345">
        <w:rPr>
          <w:rFonts w:asciiTheme="majorHAnsi" w:hAnsiTheme="majorHAnsi" w:cstheme="majorHAnsi"/>
        </w:rPr>
        <w:t>here is no assault, challenge or</w:t>
      </w:r>
      <w:r w:rsidRPr="00CA6A0F">
        <w:rPr>
          <w:rFonts w:asciiTheme="majorHAnsi" w:hAnsiTheme="majorHAnsi" w:cstheme="majorHAnsi"/>
        </w:rPr>
        <w:t xml:space="preserve"> denial of their identity, of who they are and what they need. It is about shared respect, shared meaning, shared knowledge and experience of learning together’.</w:t>
      </w:r>
      <w:r w:rsidRPr="00CA6A0F">
        <w:rPr>
          <w:rStyle w:val="FootnoteReference"/>
          <w:rFonts w:asciiTheme="majorHAnsi" w:hAnsiTheme="majorHAnsi" w:cstheme="majorHAnsi"/>
        </w:rPr>
        <w:footnoteReference w:id="1"/>
      </w:r>
    </w:p>
    <w:p w14:paraId="2884BF5D" w14:textId="77777777" w:rsidR="00D96671" w:rsidRPr="00CA6A0F" w:rsidRDefault="00D96671" w:rsidP="00FA5784">
      <w:pPr>
        <w:pStyle w:val="TUbodytext"/>
        <w:spacing w:before="0" w:after="0"/>
        <w:rPr>
          <w:rFonts w:asciiTheme="majorHAnsi" w:hAnsiTheme="majorHAnsi" w:cstheme="majorHAnsi"/>
        </w:rPr>
      </w:pPr>
    </w:p>
    <w:p w14:paraId="07AE2489" w14:textId="5A330A4E" w:rsidR="00D96671" w:rsidRPr="00CA6A0F" w:rsidRDefault="00D96671" w:rsidP="00FA5784">
      <w:pPr>
        <w:pStyle w:val="TUbodytext"/>
        <w:spacing w:before="0" w:after="0"/>
        <w:rPr>
          <w:rFonts w:asciiTheme="majorHAnsi" w:hAnsiTheme="majorHAnsi" w:cstheme="majorHAnsi"/>
        </w:rPr>
      </w:pPr>
      <w:r w:rsidRPr="00CA6A0F">
        <w:rPr>
          <w:rFonts w:asciiTheme="majorHAnsi" w:hAnsiTheme="majorHAnsi" w:cstheme="majorHAnsi"/>
        </w:rPr>
        <w:t>Cultural safety is the outcome of engaging in practices of:</w:t>
      </w:r>
    </w:p>
    <w:p w14:paraId="3EBC55C4" w14:textId="2112DA9E" w:rsidR="00D96671" w:rsidRPr="00CA6A0F" w:rsidRDefault="00D96671" w:rsidP="00F6416F">
      <w:pPr>
        <w:pStyle w:val="TUbodytext"/>
        <w:numPr>
          <w:ilvl w:val="0"/>
          <w:numId w:val="18"/>
        </w:numPr>
        <w:spacing w:before="0" w:after="0"/>
        <w:rPr>
          <w:rFonts w:asciiTheme="majorHAnsi" w:hAnsiTheme="majorHAnsi" w:cstheme="majorHAnsi"/>
        </w:rPr>
      </w:pPr>
      <w:r w:rsidRPr="00CA6A0F">
        <w:rPr>
          <w:rFonts w:asciiTheme="majorHAnsi" w:hAnsiTheme="majorHAnsi" w:cstheme="majorHAnsi"/>
        </w:rPr>
        <w:t xml:space="preserve">Cultural awareness </w:t>
      </w:r>
      <w:r w:rsidR="00F6416F" w:rsidRPr="00CA6A0F">
        <w:rPr>
          <w:rFonts w:asciiTheme="majorHAnsi" w:hAnsiTheme="majorHAnsi" w:cstheme="majorHAnsi"/>
        </w:rPr>
        <w:t>–</w:t>
      </w:r>
      <w:r w:rsidRPr="00CA6A0F">
        <w:rPr>
          <w:rFonts w:asciiTheme="majorHAnsi" w:hAnsiTheme="majorHAnsi" w:cstheme="majorHAnsi"/>
        </w:rPr>
        <w:t xml:space="preserve"> </w:t>
      </w:r>
      <w:r w:rsidR="00F6416F" w:rsidRPr="00CA6A0F">
        <w:rPr>
          <w:rFonts w:asciiTheme="majorHAnsi" w:hAnsiTheme="majorHAnsi" w:cstheme="majorHAnsi"/>
        </w:rPr>
        <w:t>the initial step of understanding differences.</w:t>
      </w:r>
    </w:p>
    <w:p w14:paraId="0A7048FC" w14:textId="1A4B9A50" w:rsidR="00F6416F" w:rsidRPr="00CA6A0F" w:rsidRDefault="00F6416F" w:rsidP="00CA6A0F">
      <w:pPr>
        <w:pStyle w:val="TUbodytext"/>
        <w:numPr>
          <w:ilvl w:val="0"/>
          <w:numId w:val="18"/>
        </w:numPr>
        <w:spacing w:before="0" w:after="0"/>
        <w:rPr>
          <w:rFonts w:asciiTheme="majorHAnsi" w:hAnsiTheme="majorHAnsi" w:cstheme="majorHAnsi"/>
        </w:rPr>
      </w:pPr>
      <w:r w:rsidRPr="00CA6A0F">
        <w:rPr>
          <w:rFonts w:asciiTheme="majorHAnsi" w:hAnsiTheme="majorHAnsi" w:cstheme="majorHAnsi"/>
        </w:rPr>
        <w:t xml:space="preserve">Cultural sensitivity – acceptance of the legitimacy of differences and the beginning of </w:t>
      </w:r>
      <w:r w:rsidR="0001750D" w:rsidRPr="00CA6A0F">
        <w:rPr>
          <w:rFonts w:asciiTheme="majorHAnsi" w:hAnsiTheme="majorHAnsi" w:cstheme="majorHAnsi"/>
        </w:rPr>
        <w:t>self-exploration</w:t>
      </w:r>
      <w:r w:rsidRPr="00CA6A0F">
        <w:rPr>
          <w:rFonts w:asciiTheme="majorHAnsi" w:hAnsiTheme="majorHAnsi" w:cstheme="majorHAnsi"/>
        </w:rPr>
        <w:t xml:space="preserve"> in understanding how personal attitudes and experience</w:t>
      </w:r>
      <w:r w:rsidR="00CA6A0F">
        <w:rPr>
          <w:rFonts w:asciiTheme="majorHAnsi" w:hAnsiTheme="majorHAnsi" w:cstheme="majorHAnsi"/>
        </w:rPr>
        <w:t xml:space="preserve">s impact on the lives of others and </w:t>
      </w:r>
      <w:r w:rsidR="00CA6A0F" w:rsidRPr="00CA6A0F">
        <w:rPr>
          <w:rFonts w:asciiTheme="majorHAnsi" w:hAnsiTheme="majorHAnsi" w:cstheme="majorHAnsi"/>
        </w:rPr>
        <w:t>recognition and respect of prior learning which is often achieved by personal experience and not formal training.</w:t>
      </w:r>
    </w:p>
    <w:p w14:paraId="6B599C50" w14:textId="1CB27745" w:rsidR="00F6416F" w:rsidRPr="00CA6A0F" w:rsidRDefault="00F6416F" w:rsidP="00F6416F">
      <w:pPr>
        <w:pStyle w:val="TUbodytext"/>
        <w:numPr>
          <w:ilvl w:val="0"/>
          <w:numId w:val="18"/>
        </w:numPr>
        <w:spacing w:before="0" w:after="0"/>
        <w:rPr>
          <w:rFonts w:asciiTheme="majorHAnsi" w:hAnsiTheme="majorHAnsi" w:cstheme="majorHAnsi"/>
        </w:rPr>
      </w:pPr>
      <w:r w:rsidRPr="00CA6A0F">
        <w:rPr>
          <w:rFonts w:asciiTheme="majorHAnsi" w:hAnsiTheme="majorHAnsi" w:cstheme="majorHAnsi"/>
        </w:rPr>
        <w:t>Cultural security – the construction and provision of services that will not compromise the legitimate cultural rights, values and expectations of Aboriginal and Torres Strait Islander peoples.</w:t>
      </w:r>
    </w:p>
    <w:p w14:paraId="31EAEDD3" w14:textId="1D2D9083" w:rsidR="00F6416F" w:rsidRPr="00CA6A0F" w:rsidRDefault="00F6416F" w:rsidP="00F6416F">
      <w:pPr>
        <w:pStyle w:val="TUbodytext"/>
        <w:numPr>
          <w:ilvl w:val="0"/>
          <w:numId w:val="18"/>
        </w:numPr>
        <w:spacing w:before="0" w:after="0"/>
        <w:rPr>
          <w:rFonts w:asciiTheme="majorHAnsi" w:hAnsiTheme="majorHAnsi" w:cstheme="majorHAnsi"/>
        </w:rPr>
      </w:pPr>
      <w:r w:rsidRPr="00CA6A0F">
        <w:rPr>
          <w:rFonts w:asciiTheme="majorHAnsi" w:hAnsiTheme="majorHAnsi" w:cstheme="majorHAnsi"/>
        </w:rPr>
        <w:t>Cultural respect – the recognition, protection and continued advancement of the inherent rights, cultures and traditions of Aboriginal and Torres Strait Islanders.</w:t>
      </w:r>
      <w:r w:rsidRPr="00CA6A0F">
        <w:rPr>
          <w:rStyle w:val="FootnoteReference"/>
          <w:rFonts w:asciiTheme="majorHAnsi" w:hAnsiTheme="majorHAnsi" w:cstheme="majorHAnsi"/>
        </w:rPr>
        <w:footnoteReference w:id="2"/>
      </w:r>
    </w:p>
    <w:p w14:paraId="775F7523" w14:textId="77777777" w:rsidR="00F6416F" w:rsidRPr="00CA6A0F" w:rsidRDefault="00F6416F" w:rsidP="00F6416F">
      <w:pPr>
        <w:pStyle w:val="TUbodytext"/>
        <w:spacing w:before="0" w:after="0"/>
        <w:rPr>
          <w:rFonts w:asciiTheme="majorHAnsi" w:hAnsiTheme="majorHAnsi" w:cstheme="majorHAnsi"/>
        </w:rPr>
      </w:pPr>
    </w:p>
    <w:p w14:paraId="3E43F9B6" w14:textId="08873CE9" w:rsidR="00F6416F" w:rsidRPr="00CA6A0F" w:rsidRDefault="00F6416F" w:rsidP="00F6416F">
      <w:pPr>
        <w:pStyle w:val="TUbodytext"/>
        <w:spacing w:before="0" w:after="0"/>
        <w:rPr>
          <w:rFonts w:asciiTheme="majorHAnsi" w:hAnsiTheme="majorHAnsi" w:cstheme="majorHAnsi"/>
        </w:rPr>
      </w:pPr>
      <w:r w:rsidRPr="00CA6A0F">
        <w:rPr>
          <w:rFonts w:asciiTheme="majorHAnsi" w:hAnsiTheme="majorHAnsi" w:cstheme="majorHAnsi"/>
        </w:rPr>
        <w:t>The principles of cultural safety include:</w:t>
      </w:r>
    </w:p>
    <w:p w14:paraId="0409D6EF" w14:textId="1712121C"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Respect.</w:t>
      </w:r>
    </w:p>
    <w:p w14:paraId="57D81107" w14:textId="58C616AD"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Honesty.</w:t>
      </w:r>
    </w:p>
    <w:p w14:paraId="2B4D8A79" w14:textId="1874426F"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Consideration.</w:t>
      </w:r>
    </w:p>
    <w:p w14:paraId="4260D911" w14:textId="19DFCA31"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Honouring.</w:t>
      </w:r>
    </w:p>
    <w:p w14:paraId="3F256D52" w14:textId="2DAA627F"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Commitment.</w:t>
      </w:r>
    </w:p>
    <w:p w14:paraId="395C86C1" w14:textId="713A5AED"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Participation.</w:t>
      </w:r>
    </w:p>
    <w:p w14:paraId="7C916771" w14:textId="4D402000"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Safety.</w:t>
      </w:r>
    </w:p>
    <w:p w14:paraId="66BF201F" w14:textId="35D620FA" w:rsidR="00F6416F" w:rsidRPr="00CA6A0F" w:rsidRDefault="00F6416F" w:rsidP="00F6416F">
      <w:pPr>
        <w:pStyle w:val="TUbodytext"/>
        <w:numPr>
          <w:ilvl w:val="0"/>
          <w:numId w:val="19"/>
        </w:numPr>
        <w:spacing w:before="0" w:after="0"/>
        <w:rPr>
          <w:rFonts w:asciiTheme="majorHAnsi" w:hAnsiTheme="majorHAnsi" w:cstheme="majorHAnsi"/>
        </w:rPr>
      </w:pPr>
      <w:r w:rsidRPr="00CA6A0F">
        <w:rPr>
          <w:rFonts w:asciiTheme="majorHAnsi" w:hAnsiTheme="majorHAnsi" w:cstheme="majorHAnsi"/>
        </w:rPr>
        <w:t>Confidentiality.</w:t>
      </w:r>
    </w:p>
    <w:p w14:paraId="30187891" w14:textId="77777777" w:rsidR="00F6416F" w:rsidRPr="00CA6A0F" w:rsidRDefault="00F6416F" w:rsidP="00F6416F">
      <w:pPr>
        <w:pStyle w:val="TUbodytext"/>
        <w:spacing w:before="0" w:after="0"/>
        <w:ind w:left="720"/>
        <w:rPr>
          <w:rFonts w:asciiTheme="majorHAnsi" w:hAnsiTheme="majorHAnsi" w:cstheme="majorHAnsi"/>
        </w:rPr>
      </w:pPr>
    </w:p>
    <w:p w14:paraId="230A898B" w14:textId="7EE0A274" w:rsidR="00000F22" w:rsidRPr="00CA6A0F" w:rsidRDefault="00F6416F" w:rsidP="00FA5784">
      <w:pPr>
        <w:pStyle w:val="TUbodytext"/>
        <w:spacing w:before="0" w:after="0"/>
        <w:rPr>
          <w:rFonts w:asciiTheme="majorHAnsi" w:hAnsiTheme="majorHAnsi" w:cstheme="majorHAnsi"/>
        </w:rPr>
      </w:pPr>
      <w:r w:rsidRPr="00CA6A0F">
        <w:rPr>
          <w:rFonts w:asciiTheme="majorHAnsi" w:hAnsiTheme="majorHAnsi" w:cstheme="majorHAnsi"/>
        </w:rPr>
        <w:t>The TU will implement these principles of cu</w:t>
      </w:r>
      <w:r w:rsidR="00DC2703" w:rsidRPr="00CA6A0F">
        <w:rPr>
          <w:rFonts w:asciiTheme="majorHAnsi" w:hAnsiTheme="majorHAnsi" w:cstheme="majorHAnsi"/>
        </w:rPr>
        <w:t>ltural safety in:</w:t>
      </w:r>
    </w:p>
    <w:p w14:paraId="1FD4C54E" w14:textId="0B037D9A" w:rsidR="00DC2703" w:rsidRPr="00CA6A0F" w:rsidRDefault="00DC2703" w:rsidP="00DC2703">
      <w:pPr>
        <w:pStyle w:val="TUbodytext"/>
        <w:numPr>
          <w:ilvl w:val="0"/>
          <w:numId w:val="10"/>
        </w:numPr>
        <w:spacing w:before="0" w:after="0"/>
        <w:rPr>
          <w:rFonts w:asciiTheme="majorHAnsi" w:hAnsiTheme="majorHAnsi" w:cstheme="majorHAnsi"/>
        </w:rPr>
      </w:pPr>
      <w:r w:rsidRPr="00CA6A0F">
        <w:rPr>
          <w:rFonts w:asciiTheme="majorHAnsi" w:hAnsiTheme="majorHAnsi" w:cstheme="majorHAnsi"/>
        </w:rPr>
        <w:t>Service delivery to Aboriginal and Torres Strait Islander clients.</w:t>
      </w:r>
    </w:p>
    <w:p w14:paraId="1F0A1B6D" w14:textId="64FD30A5" w:rsidR="00DC2703" w:rsidRPr="00CA6A0F" w:rsidRDefault="00DC2703" w:rsidP="00DC2703">
      <w:pPr>
        <w:pStyle w:val="TUbodytext"/>
        <w:numPr>
          <w:ilvl w:val="0"/>
          <w:numId w:val="10"/>
        </w:numPr>
        <w:spacing w:before="0" w:after="0"/>
        <w:rPr>
          <w:rFonts w:asciiTheme="majorHAnsi" w:hAnsiTheme="majorHAnsi" w:cstheme="majorHAnsi"/>
        </w:rPr>
      </w:pPr>
      <w:r w:rsidRPr="00CA6A0F">
        <w:rPr>
          <w:rFonts w:asciiTheme="majorHAnsi" w:hAnsiTheme="majorHAnsi" w:cstheme="majorHAnsi"/>
        </w:rPr>
        <w:t xml:space="preserve">Work practices that support Aboriginal and Torres Strait </w:t>
      </w:r>
      <w:r w:rsidR="009E3A54" w:rsidRPr="00CA6A0F">
        <w:rPr>
          <w:rFonts w:asciiTheme="majorHAnsi" w:hAnsiTheme="majorHAnsi" w:cstheme="majorHAnsi"/>
        </w:rPr>
        <w:t xml:space="preserve">Islander peoples being </w:t>
      </w:r>
      <w:r w:rsidRPr="00CA6A0F">
        <w:rPr>
          <w:rFonts w:asciiTheme="majorHAnsi" w:hAnsiTheme="majorHAnsi" w:cstheme="majorHAnsi"/>
        </w:rPr>
        <w:t>Board members, employees and volunteers.</w:t>
      </w:r>
    </w:p>
    <w:p w14:paraId="3C23083D" w14:textId="604006B3" w:rsidR="00DC2703" w:rsidRPr="00CA6A0F" w:rsidRDefault="00DC2703" w:rsidP="00DC2703">
      <w:pPr>
        <w:pStyle w:val="TUbodytext"/>
        <w:numPr>
          <w:ilvl w:val="0"/>
          <w:numId w:val="10"/>
        </w:numPr>
        <w:spacing w:before="0" w:after="0"/>
        <w:rPr>
          <w:rFonts w:asciiTheme="majorHAnsi" w:hAnsiTheme="majorHAnsi" w:cstheme="majorHAnsi"/>
        </w:rPr>
      </w:pPr>
      <w:r w:rsidRPr="00CA6A0F">
        <w:rPr>
          <w:rFonts w:asciiTheme="majorHAnsi" w:hAnsiTheme="majorHAnsi" w:cstheme="majorHAnsi"/>
        </w:rPr>
        <w:lastRenderedPageBreak/>
        <w:t xml:space="preserve">Interactions with Aboriginal and Torres Strait </w:t>
      </w:r>
      <w:r w:rsidR="009E3A54" w:rsidRPr="00CA6A0F">
        <w:rPr>
          <w:rFonts w:asciiTheme="majorHAnsi" w:hAnsiTheme="majorHAnsi" w:cstheme="majorHAnsi"/>
        </w:rPr>
        <w:t xml:space="preserve">Islander </w:t>
      </w:r>
      <w:r w:rsidRPr="00CA6A0F">
        <w:rPr>
          <w:rFonts w:asciiTheme="majorHAnsi" w:hAnsiTheme="majorHAnsi" w:cstheme="majorHAnsi"/>
        </w:rPr>
        <w:t>services and workers in the TAAP network and other agencies as a part of the TU’s business.</w:t>
      </w:r>
    </w:p>
    <w:p w14:paraId="3254E345" w14:textId="318DEF16" w:rsidR="00EF711A" w:rsidRPr="00CA6A0F" w:rsidRDefault="00EF711A" w:rsidP="00DC2703">
      <w:pPr>
        <w:pStyle w:val="TUbodytext"/>
        <w:numPr>
          <w:ilvl w:val="0"/>
          <w:numId w:val="10"/>
        </w:numPr>
        <w:spacing w:before="0" w:after="0"/>
        <w:rPr>
          <w:rFonts w:asciiTheme="majorHAnsi" w:hAnsiTheme="majorHAnsi" w:cstheme="majorHAnsi"/>
        </w:rPr>
      </w:pPr>
      <w:r w:rsidRPr="00CA6A0F">
        <w:rPr>
          <w:rFonts w:asciiTheme="majorHAnsi" w:hAnsiTheme="majorHAnsi" w:cstheme="majorHAnsi"/>
        </w:rPr>
        <w:t xml:space="preserve">All work produced by the TU including law reform, resource development, publications and legal services. </w:t>
      </w:r>
    </w:p>
    <w:p w14:paraId="74845571" w14:textId="3D8DBC1C" w:rsidR="00DA6FC8" w:rsidRPr="00CA6A0F" w:rsidRDefault="00000F22" w:rsidP="00C17B4D">
      <w:pPr>
        <w:pStyle w:val="Heading1"/>
        <w:rPr>
          <w:rFonts w:asciiTheme="majorHAnsi" w:hAnsiTheme="majorHAnsi" w:cstheme="majorHAnsi"/>
        </w:rPr>
      </w:pPr>
      <w:r w:rsidRPr="00CA6A0F">
        <w:rPr>
          <w:rFonts w:asciiTheme="majorHAnsi" w:hAnsiTheme="majorHAnsi" w:cstheme="majorHAnsi"/>
        </w:rPr>
        <w:t xml:space="preserve">  </w:t>
      </w:r>
    </w:p>
    <w:p w14:paraId="30D5AABB" w14:textId="1737FD5A" w:rsidR="0017796F" w:rsidRPr="00CA6A0F" w:rsidRDefault="00F6416F" w:rsidP="00C17B4D">
      <w:pPr>
        <w:pStyle w:val="Heading1"/>
        <w:rPr>
          <w:rFonts w:asciiTheme="majorHAnsi" w:hAnsiTheme="majorHAnsi" w:cstheme="majorHAnsi"/>
        </w:rPr>
      </w:pPr>
      <w:bookmarkStart w:id="0" w:name="1538956299"/>
      <w:bookmarkStart w:id="1" w:name="-1003954436"/>
      <w:bookmarkStart w:id="2" w:name="109419085"/>
      <w:bookmarkStart w:id="3" w:name="1269572687"/>
      <w:bookmarkEnd w:id="0"/>
      <w:bookmarkEnd w:id="1"/>
      <w:bookmarkEnd w:id="2"/>
      <w:bookmarkEnd w:id="3"/>
      <w:r w:rsidRPr="00CA6A0F">
        <w:rPr>
          <w:rFonts w:asciiTheme="majorHAnsi" w:hAnsiTheme="majorHAnsi" w:cstheme="majorHAnsi"/>
        </w:rPr>
        <w:t>3</w:t>
      </w:r>
      <w:r w:rsidR="003146DD" w:rsidRPr="00CA6A0F">
        <w:rPr>
          <w:rFonts w:asciiTheme="majorHAnsi" w:hAnsiTheme="majorHAnsi" w:cstheme="majorHAnsi"/>
        </w:rPr>
        <w:t xml:space="preserve"> </w:t>
      </w:r>
      <w:r w:rsidR="0017796F" w:rsidRPr="00CA6A0F">
        <w:rPr>
          <w:rFonts w:asciiTheme="majorHAnsi" w:hAnsiTheme="majorHAnsi" w:cstheme="majorHAnsi"/>
        </w:rPr>
        <w:t>Identifying TU access and tenancy issues</w:t>
      </w:r>
    </w:p>
    <w:p w14:paraId="41ED25BC" w14:textId="3624233A" w:rsidR="00101745" w:rsidRPr="00CA6A0F" w:rsidRDefault="003146DD" w:rsidP="00E4238D">
      <w:pPr>
        <w:pStyle w:val="TUbodytext"/>
        <w:spacing w:before="0" w:after="0"/>
        <w:rPr>
          <w:rFonts w:asciiTheme="majorHAnsi" w:hAnsiTheme="majorHAnsi" w:cstheme="majorHAnsi"/>
        </w:rPr>
      </w:pPr>
      <w:r w:rsidRPr="00CA6A0F">
        <w:rPr>
          <w:rFonts w:asciiTheme="majorHAnsi" w:hAnsiTheme="majorHAnsi" w:cstheme="majorHAnsi"/>
        </w:rPr>
        <w:t>The TU will</w:t>
      </w:r>
      <w:r w:rsidR="0017796F" w:rsidRPr="00CA6A0F">
        <w:rPr>
          <w:rFonts w:asciiTheme="majorHAnsi" w:hAnsiTheme="majorHAnsi" w:cstheme="majorHAnsi"/>
        </w:rPr>
        <w:t xml:space="preserve"> i</w:t>
      </w:r>
      <w:r w:rsidRPr="00CA6A0F">
        <w:rPr>
          <w:rFonts w:asciiTheme="majorHAnsi" w:hAnsiTheme="majorHAnsi" w:cstheme="majorHAnsi"/>
        </w:rPr>
        <w:t>dentify barriers to access for Aboriginal and Torres Strait Islander</w:t>
      </w:r>
      <w:r w:rsidR="00CF6A0B" w:rsidRPr="00CA6A0F">
        <w:rPr>
          <w:rFonts w:asciiTheme="majorHAnsi" w:hAnsiTheme="majorHAnsi" w:cstheme="majorHAnsi"/>
        </w:rPr>
        <w:t xml:space="preserve"> people</w:t>
      </w:r>
      <w:r w:rsidRPr="00CA6A0F">
        <w:rPr>
          <w:rFonts w:asciiTheme="majorHAnsi" w:hAnsiTheme="majorHAnsi" w:cstheme="majorHAnsi"/>
        </w:rPr>
        <w:t xml:space="preserve"> </w:t>
      </w:r>
      <w:r w:rsidR="00101745" w:rsidRPr="00CA6A0F">
        <w:rPr>
          <w:rFonts w:asciiTheme="majorHAnsi" w:hAnsiTheme="majorHAnsi" w:cstheme="majorHAnsi"/>
        </w:rPr>
        <w:t>to TU services</w:t>
      </w:r>
      <w:r w:rsidR="00CF6A0B" w:rsidRPr="00CA6A0F">
        <w:rPr>
          <w:rFonts w:asciiTheme="majorHAnsi" w:hAnsiTheme="majorHAnsi" w:cstheme="majorHAnsi"/>
        </w:rPr>
        <w:t>, TAAP and tenancy support services and broader support services. The TU will</w:t>
      </w:r>
      <w:r w:rsidR="00101745" w:rsidRPr="00CA6A0F">
        <w:rPr>
          <w:rFonts w:asciiTheme="majorHAnsi" w:hAnsiTheme="majorHAnsi" w:cstheme="majorHAnsi"/>
        </w:rPr>
        <w:t xml:space="preserve"> address them through policies</w:t>
      </w:r>
      <w:r w:rsidR="00CF6A0B" w:rsidRPr="00CA6A0F">
        <w:rPr>
          <w:rFonts w:asciiTheme="majorHAnsi" w:hAnsiTheme="majorHAnsi" w:cstheme="majorHAnsi"/>
        </w:rPr>
        <w:t>,</w:t>
      </w:r>
      <w:r w:rsidR="00101745" w:rsidRPr="00CA6A0F">
        <w:rPr>
          <w:rFonts w:asciiTheme="majorHAnsi" w:hAnsiTheme="majorHAnsi" w:cstheme="majorHAnsi"/>
        </w:rPr>
        <w:t xml:space="preserve"> service planning</w:t>
      </w:r>
      <w:r w:rsidR="00CF6A0B" w:rsidRPr="00CA6A0F">
        <w:rPr>
          <w:rFonts w:asciiTheme="majorHAnsi" w:hAnsiTheme="majorHAnsi" w:cstheme="majorHAnsi"/>
        </w:rPr>
        <w:t>, consultation with other services and collaborative strategic action</w:t>
      </w:r>
      <w:r w:rsidR="00101745" w:rsidRPr="00CA6A0F">
        <w:rPr>
          <w:rFonts w:asciiTheme="majorHAnsi" w:hAnsiTheme="majorHAnsi" w:cstheme="majorHAnsi"/>
        </w:rPr>
        <w:t>.</w:t>
      </w:r>
      <w:r w:rsidR="0017796F" w:rsidRPr="00CA6A0F">
        <w:rPr>
          <w:rFonts w:asciiTheme="majorHAnsi" w:hAnsiTheme="majorHAnsi" w:cstheme="majorHAnsi"/>
        </w:rPr>
        <w:t xml:space="preserve"> The TU will do this through:</w:t>
      </w:r>
    </w:p>
    <w:p w14:paraId="72F6549B" w14:textId="44C5B465" w:rsidR="00B503AD" w:rsidRPr="00CA6A0F" w:rsidRDefault="00D9044B" w:rsidP="00101745">
      <w:pPr>
        <w:pStyle w:val="TUbodytext"/>
        <w:numPr>
          <w:ilvl w:val="0"/>
          <w:numId w:val="13"/>
        </w:numPr>
        <w:spacing w:before="0" w:after="0"/>
        <w:rPr>
          <w:rFonts w:asciiTheme="majorHAnsi" w:hAnsiTheme="majorHAnsi" w:cstheme="majorHAnsi"/>
        </w:rPr>
      </w:pPr>
      <w:r w:rsidRPr="00CA6A0F">
        <w:rPr>
          <w:rFonts w:asciiTheme="majorHAnsi" w:hAnsiTheme="majorHAnsi" w:cstheme="majorHAnsi"/>
        </w:rPr>
        <w:t>Analys</w:t>
      </w:r>
      <w:r w:rsidR="0017796F" w:rsidRPr="00CA6A0F">
        <w:rPr>
          <w:rFonts w:asciiTheme="majorHAnsi" w:hAnsiTheme="majorHAnsi" w:cstheme="majorHAnsi"/>
        </w:rPr>
        <w:t>ing</w:t>
      </w:r>
      <w:r w:rsidRPr="00CA6A0F">
        <w:rPr>
          <w:rFonts w:asciiTheme="majorHAnsi" w:hAnsiTheme="majorHAnsi" w:cstheme="majorHAnsi"/>
        </w:rPr>
        <w:t xml:space="preserve"> data from CL</w:t>
      </w:r>
      <w:r w:rsidR="008601F0">
        <w:rPr>
          <w:rFonts w:asciiTheme="majorHAnsi" w:hAnsiTheme="majorHAnsi" w:cstheme="majorHAnsi"/>
        </w:rPr>
        <w:t>ASS</w:t>
      </w:r>
      <w:bookmarkStart w:id="4" w:name="_GoBack"/>
      <w:bookmarkEnd w:id="4"/>
      <w:r w:rsidR="00C54B2F" w:rsidRPr="00CA6A0F">
        <w:rPr>
          <w:rFonts w:asciiTheme="majorHAnsi" w:hAnsiTheme="majorHAnsi" w:cstheme="majorHAnsi"/>
        </w:rPr>
        <w:t xml:space="preserve">, </w:t>
      </w:r>
      <w:r w:rsidR="00B503AD" w:rsidRPr="00CA6A0F">
        <w:rPr>
          <w:rFonts w:asciiTheme="majorHAnsi" w:hAnsiTheme="majorHAnsi" w:cstheme="majorHAnsi"/>
        </w:rPr>
        <w:t>the TAAP network database</w:t>
      </w:r>
      <w:r w:rsidR="00C54B2F" w:rsidRPr="00CA6A0F">
        <w:rPr>
          <w:rFonts w:asciiTheme="majorHAnsi" w:hAnsiTheme="majorHAnsi" w:cstheme="majorHAnsi"/>
        </w:rPr>
        <w:t xml:space="preserve">, the TU Advice Line and TU Casework </w:t>
      </w:r>
      <w:r w:rsidR="00B503AD" w:rsidRPr="00CA6A0F">
        <w:rPr>
          <w:rFonts w:asciiTheme="majorHAnsi" w:hAnsiTheme="majorHAnsi" w:cstheme="majorHAnsi"/>
        </w:rPr>
        <w:t>on a 6 monthly basis to identify:</w:t>
      </w:r>
    </w:p>
    <w:p w14:paraId="1FAB4372" w14:textId="7B9B387F" w:rsidR="00B503AD" w:rsidRPr="00CA6A0F" w:rsidRDefault="00B503AD" w:rsidP="00B503AD">
      <w:pPr>
        <w:pStyle w:val="TUbodytext"/>
        <w:numPr>
          <w:ilvl w:val="1"/>
          <w:numId w:val="13"/>
        </w:numPr>
        <w:spacing w:before="0" w:after="0"/>
        <w:rPr>
          <w:rFonts w:asciiTheme="majorHAnsi" w:hAnsiTheme="majorHAnsi" w:cstheme="majorHAnsi"/>
        </w:rPr>
      </w:pPr>
      <w:r w:rsidRPr="00CA6A0F">
        <w:rPr>
          <w:rFonts w:asciiTheme="majorHAnsi" w:hAnsiTheme="majorHAnsi" w:cstheme="majorHAnsi"/>
        </w:rPr>
        <w:t xml:space="preserve">Number of </w:t>
      </w:r>
      <w:r w:rsidR="00CF6A0B" w:rsidRPr="00CA6A0F">
        <w:rPr>
          <w:rFonts w:asciiTheme="majorHAnsi" w:hAnsiTheme="majorHAnsi" w:cstheme="majorHAnsi"/>
        </w:rPr>
        <w:t xml:space="preserve">advices to </w:t>
      </w:r>
      <w:r w:rsidRPr="00CA6A0F">
        <w:rPr>
          <w:rFonts w:asciiTheme="majorHAnsi" w:hAnsiTheme="majorHAnsi" w:cstheme="majorHAnsi"/>
        </w:rPr>
        <w:t xml:space="preserve">Aboriginal and Torres Strait Islander </w:t>
      </w:r>
      <w:r w:rsidR="00CF6A0B" w:rsidRPr="00CA6A0F">
        <w:rPr>
          <w:rFonts w:asciiTheme="majorHAnsi" w:hAnsiTheme="majorHAnsi" w:cstheme="majorHAnsi"/>
        </w:rPr>
        <w:t>people</w:t>
      </w:r>
      <w:r w:rsidRPr="00CA6A0F">
        <w:rPr>
          <w:rFonts w:asciiTheme="majorHAnsi" w:hAnsiTheme="majorHAnsi" w:cstheme="majorHAnsi"/>
        </w:rPr>
        <w:t>.</w:t>
      </w:r>
    </w:p>
    <w:p w14:paraId="5CFD2640" w14:textId="77777777" w:rsidR="00CF6A0B" w:rsidRPr="00CA6A0F" w:rsidRDefault="00CF6A0B" w:rsidP="00B503AD">
      <w:pPr>
        <w:pStyle w:val="TUbodytext"/>
        <w:numPr>
          <w:ilvl w:val="1"/>
          <w:numId w:val="13"/>
        </w:numPr>
        <w:spacing w:before="0" w:after="0"/>
        <w:rPr>
          <w:rFonts w:asciiTheme="majorHAnsi" w:hAnsiTheme="majorHAnsi" w:cstheme="majorHAnsi"/>
        </w:rPr>
      </w:pPr>
      <w:r w:rsidRPr="00CA6A0F">
        <w:rPr>
          <w:rFonts w:asciiTheme="majorHAnsi" w:hAnsiTheme="majorHAnsi" w:cstheme="majorHAnsi"/>
        </w:rPr>
        <w:t xml:space="preserve">Emerging trends in </w:t>
      </w:r>
      <w:r w:rsidR="00B503AD" w:rsidRPr="00CA6A0F">
        <w:rPr>
          <w:rFonts w:asciiTheme="majorHAnsi" w:hAnsiTheme="majorHAnsi" w:cstheme="majorHAnsi"/>
        </w:rPr>
        <w:t>Tenancy issues</w:t>
      </w:r>
      <w:r w:rsidRPr="00CA6A0F">
        <w:rPr>
          <w:rFonts w:asciiTheme="majorHAnsi" w:hAnsiTheme="majorHAnsi" w:cstheme="majorHAnsi"/>
        </w:rPr>
        <w:t xml:space="preserve"> affecting Aboriginal and Torres Strait Islander people. </w:t>
      </w:r>
    </w:p>
    <w:p w14:paraId="02E3A5BE" w14:textId="3EF8BBDF" w:rsidR="00C54B2F" w:rsidRPr="00CA6A0F" w:rsidRDefault="00CF6A0B" w:rsidP="00B70345">
      <w:pPr>
        <w:pStyle w:val="TUlistpara"/>
        <w:numPr>
          <w:ilvl w:val="0"/>
          <w:numId w:val="13"/>
        </w:numPr>
      </w:pPr>
      <w:r w:rsidRPr="00CA6A0F">
        <w:t xml:space="preserve">Reporting </w:t>
      </w:r>
      <w:r w:rsidR="00C54B2F" w:rsidRPr="00CA6A0F">
        <w:t>on the results of this analysis through TU staff and Board meetings, TU social media sites, TAAP network meetings, and other information dissemination modes.</w:t>
      </w:r>
    </w:p>
    <w:p w14:paraId="5AA955DC" w14:textId="0CD36C42" w:rsidR="003110F4" w:rsidRPr="00CA6A0F" w:rsidRDefault="003110F4" w:rsidP="00B70345">
      <w:pPr>
        <w:pStyle w:val="TUlistpara"/>
        <w:numPr>
          <w:ilvl w:val="0"/>
          <w:numId w:val="13"/>
        </w:numPr>
        <w:rPr>
          <w:rFonts w:eastAsia="Times New Roman"/>
        </w:rPr>
      </w:pPr>
      <w:r w:rsidRPr="00CA6A0F">
        <w:t>Provid</w:t>
      </w:r>
      <w:r w:rsidR="0017796F" w:rsidRPr="00CA6A0F">
        <w:t>ing</w:t>
      </w:r>
      <w:r w:rsidRPr="00CA6A0F">
        <w:t xml:space="preserve"> opportunities for reflection </w:t>
      </w:r>
      <w:r w:rsidR="00666198" w:rsidRPr="00CA6A0F">
        <w:t xml:space="preserve">and action </w:t>
      </w:r>
      <w:r w:rsidRPr="00CA6A0F">
        <w:t xml:space="preserve">on </w:t>
      </w:r>
      <w:r w:rsidR="00666198" w:rsidRPr="00CA6A0F">
        <w:t>this analysis through TU Board and staff me</w:t>
      </w:r>
      <w:r w:rsidRPr="00CA6A0F">
        <w:t xml:space="preserve">etings, </w:t>
      </w:r>
      <w:r w:rsidR="00666198" w:rsidRPr="00CA6A0F">
        <w:t xml:space="preserve">TU social media </w:t>
      </w:r>
      <w:r w:rsidRPr="00CA6A0F">
        <w:t>and TU organised workshops and conferences.</w:t>
      </w:r>
    </w:p>
    <w:p w14:paraId="3829F8BF" w14:textId="7B69C24A" w:rsidR="00666198" w:rsidRPr="00CA6A0F" w:rsidRDefault="00064C39" w:rsidP="00B70345">
      <w:pPr>
        <w:pStyle w:val="TUlistpara"/>
        <w:numPr>
          <w:ilvl w:val="0"/>
          <w:numId w:val="15"/>
        </w:numPr>
      </w:pPr>
      <w:r w:rsidRPr="00CA6A0F">
        <w:t>Consult</w:t>
      </w:r>
      <w:r w:rsidR="0017796F" w:rsidRPr="00CA6A0F">
        <w:t>ing</w:t>
      </w:r>
      <w:r w:rsidRPr="00CA6A0F">
        <w:t xml:space="preserve"> with Aboriginal TAAS</w:t>
      </w:r>
      <w:r w:rsidR="003110F4" w:rsidRPr="00CA6A0F">
        <w:t>s</w:t>
      </w:r>
      <w:r w:rsidRPr="00CA6A0F">
        <w:t>, Dtarawarra</w:t>
      </w:r>
      <w:r w:rsidR="002763F4" w:rsidRPr="00CA6A0F">
        <w:t xml:space="preserve"> </w:t>
      </w:r>
      <w:r w:rsidR="008C7D2D" w:rsidRPr="00CA6A0F">
        <w:t>Aboriginal</w:t>
      </w:r>
      <w:r w:rsidR="002763F4" w:rsidRPr="00CA6A0F">
        <w:t xml:space="preserve"> Resource Unit</w:t>
      </w:r>
      <w:r w:rsidR="005B7070">
        <w:t>, TUs Aboriginal Advisory Committee</w:t>
      </w:r>
      <w:r w:rsidRPr="00CA6A0F">
        <w:t xml:space="preserve"> and other Aboriginal and Torres Strait Islander community organisations to inform the development of TU polices and services.</w:t>
      </w:r>
      <w:r w:rsidR="002763F4" w:rsidRPr="00CA6A0F">
        <w:t xml:space="preserve"> </w:t>
      </w:r>
    </w:p>
    <w:p w14:paraId="6CAE3ED9" w14:textId="75F36E65" w:rsidR="002763F4" w:rsidRPr="00CA6A0F" w:rsidRDefault="002763F4" w:rsidP="00B70345">
      <w:pPr>
        <w:pStyle w:val="TUlistpara"/>
        <w:numPr>
          <w:ilvl w:val="0"/>
          <w:numId w:val="15"/>
        </w:numPr>
      </w:pPr>
      <w:r w:rsidRPr="00CA6A0F">
        <w:t xml:space="preserve">Consulting with Aboriginal TAASs, Dtarawarra </w:t>
      </w:r>
      <w:r w:rsidR="008C7D2D" w:rsidRPr="00CA6A0F">
        <w:t>Aboriginal</w:t>
      </w:r>
      <w:r w:rsidRPr="00CA6A0F">
        <w:t xml:space="preserve"> Resource Unit</w:t>
      </w:r>
      <w:r w:rsidR="00666198" w:rsidRPr="00CA6A0F">
        <w:t xml:space="preserve">, </w:t>
      </w:r>
      <w:r w:rsidR="005B7070">
        <w:t>TUs Aboriginal Advisory Committee</w:t>
      </w:r>
      <w:r w:rsidR="005B7070" w:rsidRPr="00CA6A0F">
        <w:t xml:space="preserve"> </w:t>
      </w:r>
      <w:r w:rsidR="005B7070">
        <w:t xml:space="preserve">and </w:t>
      </w:r>
      <w:r w:rsidRPr="00CA6A0F">
        <w:t xml:space="preserve">other tenancy and community organisations </w:t>
      </w:r>
      <w:r w:rsidR="00666198" w:rsidRPr="00CA6A0F">
        <w:t xml:space="preserve">and mainstream organisations with specialised knowledge about Aboriginal and Torres Strait Islander issues </w:t>
      </w:r>
      <w:r w:rsidRPr="00CA6A0F">
        <w:t>to identify systemic policy issues affecting Aboriginal and Torres Strait Islander tenants and advocating for law and policy reform.</w:t>
      </w:r>
    </w:p>
    <w:p w14:paraId="1EADFB36" w14:textId="6AB672C5" w:rsidR="005B7070" w:rsidRDefault="005B7070" w:rsidP="005B7070">
      <w:pPr>
        <w:rPr>
          <w:rFonts w:asciiTheme="majorHAnsi" w:eastAsiaTheme="minorHAnsi" w:hAnsiTheme="majorHAnsi" w:cstheme="majorHAnsi"/>
          <w:b w:val="0"/>
          <w:bCs w:val="0"/>
          <w:color w:val="231F20"/>
          <w:szCs w:val="24"/>
        </w:rPr>
      </w:pPr>
      <w:r w:rsidRPr="005B7070">
        <w:rPr>
          <w:rFonts w:asciiTheme="majorHAnsi" w:eastAsiaTheme="minorHAnsi" w:hAnsiTheme="majorHAnsi" w:cstheme="majorHAnsi"/>
          <w:b w:val="0"/>
          <w:bCs w:val="0"/>
          <w:color w:val="231F20"/>
          <w:szCs w:val="24"/>
        </w:rPr>
        <w:t xml:space="preserve">TU will implement the results of these analyses and consultations to the extent that they fall within the </w:t>
      </w:r>
      <w:r>
        <w:rPr>
          <w:rFonts w:asciiTheme="majorHAnsi" w:eastAsiaTheme="minorHAnsi" w:hAnsiTheme="majorHAnsi" w:cstheme="majorHAnsi"/>
          <w:b w:val="0"/>
          <w:bCs w:val="0"/>
          <w:color w:val="231F20"/>
          <w:szCs w:val="24"/>
        </w:rPr>
        <w:t>scope of the Mission and Purposes</w:t>
      </w:r>
      <w:r w:rsidRPr="005B7070">
        <w:rPr>
          <w:rFonts w:asciiTheme="majorHAnsi" w:eastAsiaTheme="minorHAnsi" w:hAnsiTheme="majorHAnsi" w:cstheme="majorHAnsi"/>
          <w:b w:val="0"/>
          <w:bCs w:val="0"/>
          <w:color w:val="231F20"/>
          <w:szCs w:val="24"/>
        </w:rPr>
        <w:t xml:space="preserve"> of the TU and </w:t>
      </w:r>
      <w:r>
        <w:rPr>
          <w:rFonts w:asciiTheme="majorHAnsi" w:eastAsiaTheme="minorHAnsi" w:hAnsiTheme="majorHAnsi" w:cstheme="majorHAnsi"/>
          <w:b w:val="0"/>
          <w:bCs w:val="0"/>
          <w:color w:val="231F20"/>
          <w:szCs w:val="24"/>
        </w:rPr>
        <w:t>the availability of resources.</w:t>
      </w:r>
    </w:p>
    <w:p w14:paraId="4AB45CBB" w14:textId="77777777" w:rsidR="005B7070" w:rsidRDefault="005B7070" w:rsidP="00C17B4D">
      <w:pPr>
        <w:pStyle w:val="Heading1"/>
        <w:rPr>
          <w:rFonts w:asciiTheme="majorHAnsi" w:hAnsiTheme="majorHAnsi" w:cstheme="majorHAnsi"/>
        </w:rPr>
      </w:pPr>
    </w:p>
    <w:p w14:paraId="28DED1E6" w14:textId="35D8C8B8" w:rsidR="0017796F" w:rsidRPr="00CA6A0F" w:rsidRDefault="008A7B86" w:rsidP="00C17B4D">
      <w:pPr>
        <w:pStyle w:val="Heading1"/>
        <w:rPr>
          <w:rFonts w:asciiTheme="majorHAnsi" w:hAnsiTheme="majorHAnsi" w:cstheme="majorHAnsi"/>
        </w:rPr>
      </w:pPr>
      <w:r w:rsidRPr="00CA6A0F">
        <w:rPr>
          <w:rFonts w:asciiTheme="majorHAnsi" w:hAnsiTheme="majorHAnsi" w:cstheme="majorHAnsi"/>
        </w:rPr>
        <w:t xml:space="preserve">4 </w:t>
      </w:r>
      <w:r w:rsidR="0017796F" w:rsidRPr="00CA6A0F">
        <w:rPr>
          <w:rFonts w:asciiTheme="majorHAnsi" w:hAnsiTheme="majorHAnsi" w:cstheme="majorHAnsi"/>
        </w:rPr>
        <w:t>TU actions to implement cultural safety</w:t>
      </w:r>
    </w:p>
    <w:p w14:paraId="16AF8F4E" w14:textId="2EF63D4E" w:rsidR="0017796F" w:rsidRPr="00CA6A0F" w:rsidRDefault="0017796F" w:rsidP="00B70345">
      <w:pPr>
        <w:pStyle w:val="TUlistpara"/>
      </w:pPr>
      <w:r w:rsidRPr="00CA6A0F">
        <w:t>The TU will:</w:t>
      </w:r>
    </w:p>
    <w:p w14:paraId="763FE226" w14:textId="1213FEDD" w:rsidR="003110F4" w:rsidRPr="00CA6A0F" w:rsidRDefault="003110F4" w:rsidP="00B70345">
      <w:pPr>
        <w:pStyle w:val="TUlistpara"/>
        <w:numPr>
          <w:ilvl w:val="0"/>
          <w:numId w:val="15"/>
        </w:numPr>
      </w:pPr>
      <w:r w:rsidRPr="00CA6A0F">
        <w:t>Ensur</w:t>
      </w:r>
      <w:r w:rsidR="0017796F" w:rsidRPr="00CA6A0F">
        <w:t>e</w:t>
      </w:r>
      <w:r w:rsidRPr="00CA6A0F">
        <w:t xml:space="preserve"> that TU organised meetings, workshops and conferences are culturally safe and that Aboriginal </w:t>
      </w:r>
      <w:r w:rsidR="00E0429C" w:rsidRPr="00CA6A0F">
        <w:t xml:space="preserve">and Torres Strait Islander </w:t>
      </w:r>
      <w:r w:rsidRPr="00CA6A0F">
        <w:t>people are supported to participate as speakers and attendees.</w:t>
      </w:r>
    </w:p>
    <w:p w14:paraId="3952DF6F" w14:textId="20B142BC" w:rsidR="00064C39" w:rsidRPr="00CA6A0F" w:rsidRDefault="0001750D" w:rsidP="00B70345">
      <w:pPr>
        <w:pStyle w:val="TUlistpara"/>
        <w:numPr>
          <w:ilvl w:val="0"/>
          <w:numId w:val="15"/>
        </w:numPr>
      </w:pPr>
      <w:r w:rsidRPr="00CA6A0F">
        <w:t>I</w:t>
      </w:r>
      <w:r w:rsidR="00064C39" w:rsidRPr="00CA6A0F">
        <w:t xml:space="preserve">mplement </w:t>
      </w:r>
      <w:r w:rsidR="00691867">
        <w:t>the TU</w:t>
      </w:r>
      <w:r w:rsidR="00064C39" w:rsidRPr="00CA6A0F">
        <w:t xml:space="preserve"> Reconciliation Action Plan</w:t>
      </w:r>
      <w:r w:rsidR="00691867">
        <w:t>.</w:t>
      </w:r>
    </w:p>
    <w:p w14:paraId="13F35CC2" w14:textId="5E9BB378" w:rsidR="00064C39" w:rsidRPr="00CA6A0F" w:rsidRDefault="00064C39" w:rsidP="00B70345">
      <w:pPr>
        <w:pStyle w:val="TUlistpara"/>
        <w:numPr>
          <w:ilvl w:val="0"/>
          <w:numId w:val="15"/>
        </w:numPr>
      </w:pPr>
      <w:r w:rsidRPr="00CA6A0F">
        <w:t>Convene and support the TU Aboriginal Advisory Committee</w:t>
      </w:r>
      <w:r w:rsidR="007254BA" w:rsidRPr="00CA6A0F">
        <w:t xml:space="preserve"> and seek its advice in the development of policies, services and law reform</w:t>
      </w:r>
      <w:r w:rsidRPr="00CA6A0F">
        <w:t>.</w:t>
      </w:r>
    </w:p>
    <w:p w14:paraId="2716ECCD" w14:textId="5089D683" w:rsidR="008A7B86" w:rsidRPr="00CA6A0F" w:rsidRDefault="00064C39" w:rsidP="00B70345">
      <w:pPr>
        <w:pStyle w:val="TUlistpara"/>
        <w:numPr>
          <w:ilvl w:val="0"/>
          <w:numId w:val="15"/>
        </w:numPr>
      </w:pPr>
      <w:r w:rsidRPr="00CA6A0F">
        <w:t xml:space="preserve">Maintain identified Aboriginal </w:t>
      </w:r>
      <w:r w:rsidR="005B7070">
        <w:t>staff positions</w:t>
      </w:r>
      <w:r w:rsidR="00F76B8F" w:rsidRPr="00CA6A0F">
        <w:t xml:space="preserve"> subject to funding</w:t>
      </w:r>
      <w:r w:rsidRPr="00CA6A0F">
        <w:t xml:space="preserve">. </w:t>
      </w:r>
    </w:p>
    <w:p w14:paraId="346CE215" w14:textId="53E8C02F" w:rsidR="008D4F9B" w:rsidRPr="00CA6A0F" w:rsidRDefault="008C7D2D" w:rsidP="00B70345">
      <w:pPr>
        <w:pStyle w:val="TUlistpara"/>
        <w:numPr>
          <w:ilvl w:val="0"/>
          <w:numId w:val="15"/>
        </w:numPr>
      </w:pPr>
      <w:r w:rsidRPr="00CA6A0F">
        <w:t>Support</w:t>
      </w:r>
      <w:r w:rsidR="009E3A54" w:rsidRPr="00CA6A0F">
        <w:t xml:space="preserve"> the Aboriginal </w:t>
      </w:r>
      <w:r w:rsidR="005B7070">
        <w:t>staff in the TU</w:t>
      </w:r>
      <w:r w:rsidR="009E3A54" w:rsidRPr="00CA6A0F">
        <w:t xml:space="preserve"> by encouraging attendance at the CLC Yarn-Up events and other mentoring and networking events with Aboriginal and Torres Strait Islander workers in the TAAS, CLC and broader legal network.</w:t>
      </w:r>
    </w:p>
    <w:p w14:paraId="4347667D" w14:textId="502A0E14" w:rsidR="008D4F9B" w:rsidRPr="00CA6A0F" w:rsidRDefault="008D4F9B" w:rsidP="00B70345">
      <w:pPr>
        <w:pStyle w:val="TUlistpara"/>
        <w:numPr>
          <w:ilvl w:val="0"/>
          <w:numId w:val="15"/>
        </w:numPr>
      </w:pPr>
      <w:r w:rsidRPr="00CA6A0F">
        <w:t>Provide Aboriginal and Torres Strait Islander TU staff with 1 day of cultural leave to attend a cultural event in their community.</w:t>
      </w:r>
    </w:p>
    <w:p w14:paraId="490F305D" w14:textId="29497473" w:rsidR="00064C39" w:rsidRPr="00CA6A0F" w:rsidRDefault="00064C39" w:rsidP="00B70345">
      <w:pPr>
        <w:pStyle w:val="TUlistpara"/>
        <w:numPr>
          <w:ilvl w:val="0"/>
          <w:numId w:val="15"/>
        </w:numPr>
      </w:pPr>
      <w:r w:rsidRPr="00CA6A0F">
        <w:lastRenderedPageBreak/>
        <w:t xml:space="preserve">Encourage and support Aboriginal and Torres Strait Islander </w:t>
      </w:r>
      <w:r w:rsidR="00E4238D" w:rsidRPr="00CA6A0F">
        <w:t>membership of the TU a</w:t>
      </w:r>
      <w:r w:rsidRPr="00CA6A0F">
        <w:t>nd on the TU Board.</w:t>
      </w:r>
    </w:p>
    <w:p w14:paraId="7846B5BF" w14:textId="13A23760" w:rsidR="00064C39" w:rsidRPr="00CA6A0F" w:rsidRDefault="00B503AD" w:rsidP="00B70345">
      <w:pPr>
        <w:pStyle w:val="TUlistpara"/>
        <w:numPr>
          <w:ilvl w:val="0"/>
          <w:numId w:val="15"/>
        </w:numPr>
      </w:pPr>
      <w:r w:rsidRPr="00CA6A0F">
        <w:t>Ensure all TU employees</w:t>
      </w:r>
      <w:r w:rsidR="00BB412E" w:rsidRPr="00CA6A0F">
        <w:t>, volunteers and Board Members</w:t>
      </w:r>
      <w:r w:rsidRPr="00CA6A0F">
        <w:t xml:space="preserve"> undertake </w:t>
      </w:r>
      <w:r w:rsidR="00BD382C" w:rsidRPr="00CA6A0F">
        <w:t xml:space="preserve">high-level </w:t>
      </w:r>
      <w:r w:rsidRPr="00CA6A0F">
        <w:t>cultural awareness and safety training</w:t>
      </w:r>
      <w:r w:rsidR="0017796F" w:rsidRPr="00CA6A0F">
        <w:t xml:space="preserve"> </w:t>
      </w:r>
      <w:r w:rsidR="00E0429C" w:rsidRPr="00CA6A0F">
        <w:t xml:space="preserve">on </w:t>
      </w:r>
      <w:r w:rsidR="00666198" w:rsidRPr="00CA6A0F">
        <w:t>a triennial</w:t>
      </w:r>
      <w:r w:rsidR="00E0429C" w:rsidRPr="00CA6A0F">
        <w:t xml:space="preserve"> basis </w:t>
      </w:r>
      <w:r w:rsidR="0017796F" w:rsidRPr="00CA6A0F">
        <w:t xml:space="preserve">and </w:t>
      </w:r>
      <w:r w:rsidR="008A7B86" w:rsidRPr="00CA6A0F">
        <w:t>receive a copy of the Cultural Awareness package developed by D</w:t>
      </w:r>
      <w:r w:rsidR="0017796F" w:rsidRPr="00CA6A0F">
        <w:t>tarawarra</w:t>
      </w:r>
      <w:r w:rsidR="00E0429C" w:rsidRPr="00CA6A0F">
        <w:t xml:space="preserve"> </w:t>
      </w:r>
      <w:r w:rsidR="008A7B86" w:rsidRPr="00CA6A0F">
        <w:t>Aboriginal Resource Unit on induction.</w:t>
      </w:r>
      <w:r w:rsidR="00E0429C" w:rsidRPr="00CA6A0F">
        <w:t xml:space="preserve"> </w:t>
      </w:r>
    </w:p>
    <w:p w14:paraId="154D15D5" w14:textId="77777777" w:rsidR="00775668" w:rsidRDefault="00775668" w:rsidP="00646D79">
      <w:pPr>
        <w:pStyle w:val="TUbodytext"/>
        <w:numPr>
          <w:ilvl w:val="0"/>
          <w:numId w:val="15"/>
        </w:numPr>
        <w:spacing w:before="0" w:after="0"/>
        <w:rPr>
          <w:rFonts w:ascii="Calibri" w:eastAsiaTheme="minorHAnsi" w:hAnsi="Calibri" w:cs="Calibri"/>
          <w:shd w:val="clear" w:color="auto" w:fill="FFFFFF"/>
        </w:rPr>
      </w:pPr>
      <w:r w:rsidRPr="00775668">
        <w:rPr>
          <w:rFonts w:ascii="Calibri" w:eastAsiaTheme="minorHAnsi" w:hAnsi="Calibri" w:cs="Calibri"/>
          <w:shd w:val="clear" w:color="auto" w:fill="FFFFFF"/>
        </w:rPr>
        <w:t>Ensure that all TU meetings, workshops, conferences and events hosted by the TU include a Welcome to Country or an Acknowledgement of Country that is in accordance with relevant protocols. At events where a Welcome is given, all speakers from the TU will also commence their speeches with an Acknowledgment of Country.</w:t>
      </w:r>
    </w:p>
    <w:p w14:paraId="4A60FF01" w14:textId="50059D3B" w:rsidR="00775668" w:rsidRPr="00775668" w:rsidRDefault="00775668" w:rsidP="00775668">
      <w:pPr>
        <w:pStyle w:val="TUbodytext"/>
        <w:numPr>
          <w:ilvl w:val="0"/>
          <w:numId w:val="15"/>
        </w:numPr>
        <w:spacing w:before="0" w:after="0"/>
        <w:rPr>
          <w:rFonts w:ascii="Calibri" w:eastAsiaTheme="minorHAnsi" w:hAnsi="Calibri" w:cs="Calibri"/>
          <w:shd w:val="clear" w:color="auto" w:fill="FFFFFF"/>
        </w:rPr>
      </w:pPr>
      <w:r w:rsidRPr="00775668">
        <w:rPr>
          <w:rFonts w:ascii="Calibri" w:eastAsiaTheme="minorHAnsi" w:hAnsi="Calibri" w:cs="Calibri"/>
          <w:shd w:val="clear" w:color="auto" w:fill="FFFFFF"/>
        </w:rPr>
        <w:t xml:space="preserve">Ensure that </w:t>
      </w:r>
      <w:r>
        <w:rPr>
          <w:rFonts w:ascii="Calibri" w:eastAsiaTheme="minorHAnsi" w:hAnsi="Calibri" w:cs="Calibri"/>
          <w:shd w:val="clear" w:color="auto" w:fill="FFFFFF"/>
        </w:rPr>
        <w:t xml:space="preserve">TU speakers at </w:t>
      </w:r>
      <w:r w:rsidRPr="00775668">
        <w:rPr>
          <w:rFonts w:ascii="Calibri" w:eastAsiaTheme="minorHAnsi" w:hAnsi="Calibri" w:cs="Calibri"/>
          <w:shd w:val="clear" w:color="auto" w:fill="FFFFFF"/>
        </w:rPr>
        <w:t xml:space="preserve">workshops, conferences and events </w:t>
      </w:r>
      <w:r>
        <w:rPr>
          <w:rFonts w:ascii="Calibri" w:eastAsiaTheme="minorHAnsi" w:hAnsi="Calibri" w:cs="Calibri"/>
          <w:shd w:val="clear" w:color="auto" w:fill="FFFFFF"/>
        </w:rPr>
        <w:t xml:space="preserve">they attend not </w:t>
      </w:r>
      <w:r w:rsidRPr="00775668">
        <w:rPr>
          <w:rFonts w:ascii="Calibri" w:eastAsiaTheme="minorHAnsi" w:hAnsi="Calibri" w:cs="Calibri"/>
          <w:shd w:val="clear" w:color="auto" w:fill="FFFFFF"/>
        </w:rPr>
        <w:t xml:space="preserve">hosted by the TU </w:t>
      </w:r>
      <w:r>
        <w:rPr>
          <w:rFonts w:ascii="Calibri" w:eastAsiaTheme="minorHAnsi" w:hAnsi="Calibri" w:cs="Calibri"/>
          <w:shd w:val="clear" w:color="auto" w:fill="FFFFFF"/>
        </w:rPr>
        <w:t xml:space="preserve">begin their presentation with </w:t>
      </w:r>
      <w:r w:rsidRPr="00775668">
        <w:rPr>
          <w:rFonts w:ascii="Calibri" w:eastAsiaTheme="minorHAnsi" w:hAnsi="Calibri" w:cs="Calibri"/>
          <w:shd w:val="clear" w:color="auto" w:fill="FFFFFF"/>
        </w:rPr>
        <w:t xml:space="preserve">an Acknowledgement of Country that is in accordance with relevant protocols. </w:t>
      </w:r>
    </w:p>
    <w:p w14:paraId="1934CA54" w14:textId="16CF70D3" w:rsidR="002A4629" w:rsidRPr="00CA6A0F" w:rsidRDefault="002A4629" w:rsidP="002A4629">
      <w:pPr>
        <w:pStyle w:val="TUbodytext"/>
        <w:numPr>
          <w:ilvl w:val="0"/>
          <w:numId w:val="15"/>
        </w:numPr>
        <w:spacing w:before="0" w:after="0"/>
        <w:rPr>
          <w:rFonts w:asciiTheme="majorHAnsi" w:hAnsiTheme="majorHAnsi" w:cstheme="majorHAnsi"/>
        </w:rPr>
      </w:pPr>
      <w:r w:rsidRPr="00CA6A0F">
        <w:rPr>
          <w:rFonts w:asciiTheme="majorHAnsi" w:hAnsiTheme="majorHAnsi" w:cstheme="majorHAnsi"/>
        </w:rPr>
        <w:t>Display appropriate signage and other material to identify the TU</w:t>
      </w:r>
      <w:r w:rsidR="008C7D2D" w:rsidRPr="00CA6A0F">
        <w:rPr>
          <w:rFonts w:asciiTheme="majorHAnsi" w:hAnsiTheme="majorHAnsi" w:cstheme="majorHAnsi"/>
        </w:rPr>
        <w:t>’s</w:t>
      </w:r>
      <w:r w:rsidRPr="00CA6A0F">
        <w:rPr>
          <w:rFonts w:asciiTheme="majorHAnsi" w:hAnsiTheme="majorHAnsi" w:cstheme="majorHAnsi"/>
        </w:rPr>
        <w:t xml:space="preserve"> commitment to Aboriginal and Torres Strait Islander peoples</w:t>
      </w:r>
      <w:r w:rsidR="00CA77AA">
        <w:rPr>
          <w:rFonts w:asciiTheme="majorHAnsi" w:hAnsiTheme="majorHAnsi" w:cstheme="majorHAnsi"/>
        </w:rPr>
        <w:t xml:space="preserve"> in the TU premises and at events in which TU participates where possible (e.g. stalls)</w:t>
      </w:r>
      <w:r w:rsidRPr="00CA6A0F">
        <w:rPr>
          <w:rFonts w:asciiTheme="majorHAnsi" w:hAnsiTheme="majorHAnsi" w:cstheme="majorHAnsi"/>
        </w:rPr>
        <w:t>.</w:t>
      </w:r>
    </w:p>
    <w:p w14:paraId="3C352459" w14:textId="17EDF727" w:rsidR="0001750D" w:rsidRPr="00CA6A0F" w:rsidRDefault="00064C39" w:rsidP="00B70345">
      <w:pPr>
        <w:pStyle w:val="TUlistpara"/>
        <w:numPr>
          <w:ilvl w:val="0"/>
          <w:numId w:val="15"/>
        </w:numPr>
      </w:pPr>
      <w:r w:rsidRPr="00CA6A0F">
        <w:t>Celebrate</w:t>
      </w:r>
      <w:r w:rsidR="00CA77AA">
        <w:t xml:space="preserve">, </w:t>
      </w:r>
      <w:r w:rsidR="00E0429C" w:rsidRPr="00CA6A0F">
        <w:t>commemorate</w:t>
      </w:r>
      <w:r w:rsidRPr="00CA6A0F">
        <w:t xml:space="preserve"> </w:t>
      </w:r>
      <w:r w:rsidR="00CA77AA">
        <w:t xml:space="preserve">and participate in </w:t>
      </w:r>
      <w:r w:rsidRPr="00CA6A0F">
        <w:t>occasions significant to Aboriginal and Torres Strait Islander peoples</w:t>
      </w:r>
      <w:r w:rsidR="00666198" w:rsidRPr="00CA6A0F">
        <w:t xml:space="preserve"> including but not limited to NAIDOC Week, National Sorry Day</w:t>
      </w:r>
      <w:r w:rsidR="008A7B86" w:rsidRPr="00CA6A0F">
        <w:t>, Survival Day and National Reconciliation Week.</w:t>
      </w:r>
    </w:p>
    <w:p w14:paraId="33E58D2A" w14:textId="77777777" w:rsidR="0001750D" w:rsidRPr="00CA6A0F" w:rsidRDefault="003110F4" w:rsidP="00B70345">
      <w:pPr>
        <w:pStyle w:val="TUlistpara"/>
        <w:numPr>
          <w:ilvl w:val="0"/>
          <w:numId w:val="15"/>
        </w:numPr>
      </w:pPr>
      <w:r w:rsidRPr="00CA6A0F">
        <w:t>Support our members and partner organisations to</w:t>
      </w:r>
      <w:r w:rsidR="00DA0FFD" w:rsidRPr="00CA6A0F">
        <w:t xml:space="preserve"> develop and implement strategies to overcome the barriers that</w:t>
      </w:r>
      <w:r w:rsidRPr="00CA6A0F">
        <w:t xml:space="preserve"> Aboriginal and Torres Strait Islander people</w:t>
      </w:r>
      <w:r w:rsidR="00DA0FFD" w:rsidRPr="00CA6A0F">
        <w:t xml:space="preserve"> face in accessing tenancy and other support services (for example, through targeted outreach work, developing </w:t>
      </w:r>
      <w:r w:rsidR="008C7D2D" w:rsidRPr="00CA6A0F">
        <w:t xml:space="preserve">and distributing </w:t>
      </w:r>
      <w:r w:rsidR="00DA0FFD" w:rsidRPr="00CA6A0F">
        <w:t>simple information resources and building strategic relationships with other organisations to facilitate referrals) and providing</w:t>
      </w:r>
      <w:r w:rsidRPr="00CA6A0F">
        <w:t xml:space="preserve"> culturally safe tenancy services.</w:t>
      </w:r>
    </w:p>
    <w:p w14:paraId="5CE5AEB0" w14:textId="77777777" w:rsidR="0001750D" w:rsidRPr="00CA6A0F" w:rsidRDefault="003110F4" w:rsidP="00B70345">
      <w:pPr>
        <w:pStyle w:val="TUlistpara"/>
        <w:numPr>
          <w:ilvl w:val="0"/>
          <w:numId w:val="15"/>
        </w:numPr>
      </w:pPr>
      <w:r w:rsidRPr="00CA6A0F">
        <w:t xml:space="preserve">Collaborate with Aboriginal </w:t>
      </w:r>
      <w:r w:rsidR="00F76B8F" w:rsidRPr="00CA6A0F">
        <w:t xml:space="preserve">TAASs </w:t>
      </w:r>
      <w:r w:rsidRPr="00CA6A0F">
        <w:t xml:space="preserve">on law and policy reform work and support </w:t>
      </w:r>
      <w:r w:rsidR="00DA0FFD" w:rsidRPr="00CA6A0F">
        <w:t xml:space="preserve">and empower </w:t>
      </w:r>
      <w:r w:rsidRPr="00CA6A0F">
        <w:t>Aboriginal</w:t>
      </w:r>
      <w:r w:rsidR="00DA0FFD" w:rsidRPr="00CA6A0F">
        <w:t xml:space="preserve"> and Torres Strait Islander</w:t>
      </w:r>
      <w:r w:rsidRPr="00CA6A0F">
        <w:t xml:space="preserve"> people to represent themselves in </w:t>
      </w:r>
      <w:r w:rsidR="00F76B8F" w:rsidRPr="00CA6A0F">
        <w:t xml:space="preserve">state </w:t>
      </w:r>
      <w:r w:rsidRPr="00CA6A0F">
        <w:t>and national forum</w:t>
      </w:r>
      <w:r w:rsidR="00E4238D" w:rsidRPr="00CA6A0F">
        <w:t>s</w:t>
      </w:r>
      <w:r w:rsidR="00C4701B" w:rsidRPr="00CA6A0F">
        <w:t>.</w:t>
      </w:r>
    </w:p>
    <w:p w14:paraId="02B90F90" w14:textId="77777777" w:rsidR="0001750D" w:rsidRPr="00CA6A0F" w:rsidRDefault="00E4238D" w:rsidP="00B70345">
      <w:pPr>
        <w:pStyle w:val="TUlistpara"/>
        <w:numPr>
          <w:ilvl w:val="0"/>
          <w:numId w:val="15"/>
        </w:numPr>
      </w:pPr>
      <w:r w:rsidRPr="00CA6A0F">
        <w:t>Give due weight to the advice/recommendations from Aboriginal and Torres Strait Islander peoples</w:t>
      </w:r>
      <w:r w:rsidR="00DA0FFD" w:rsidRPr="00CA6A0F">
        <w:t xml:space="preserve"> </w:t>
      </w:r>
      <w:r w:rsidRPr="00CA6A0F">
        <w:t>to the TU for the purposes of law and policy reform</w:t>
      </w:r>
      <w:r w:rsidR="008A7B86" w:rsidRPr="00CA6A0F">
        <w:t xml:space="preserve"> gained through the consultation processes outlined above.</w:t>
      </w:r>
    </w:p>
    <w:p w14:paraId="309EFFEE" w14:textId="7C9F3A8E" w:rsidR="00562028" w:rsidRDefault="00562028" w:rsidP="00B70345">
      <w:pPr>
        <w:pStyle w:val="TUlistpara"/>
        <w:numPr>
          <w:ilvl w:val="0"/>
          <w:numId w:val="15"/>
        </w:numPr>
      </w:pPr>
      <w:r w:rsidRPr="00CA6A0F">
        <w:t>Actively seek feedback fro</w:t>
      </w:r>
      <w:r w:rsidR="0076725A" w:rsidRPr="00CA6A0F">
        <w:t>m</w:t>
      </w:r>
      <w:r w:rsidRPr="00CA6A0F">
        <w:t xml:space="preserve"> Aboriginal TAAS</w:t>
      </w:r>
      <w:r w:rsidR="0076725A" w:rsidRPr="00CA6A0F">
        <w:t xml:space="preserve">s, </w:t>
      </w:r>
      <w:r w:rsidR="00CA77AA">
        <w:t xml:space="preserve">the TU </w:t>
      </w:r>
      <w:r w:rsidR="0076725A" w:rsidRPr="00CA6A0F">
        <w:t>Aboriginal Advisory Committee</w:t>
      </w:r>
      <w:r w:rsidRPr="00CA6A0F">
        <w:t xml:space="preserve"> and other community organisations</w:t>
      </w:r>
      <w:r w:rsidR="009E3A54" w:rsidRPr="00CA6A0F">
        <w:t xml:space="preserve"> </w:t>
      </w:r>
      <w:r w:rsidR="0076725A" w:rsidRPr="00CA6A0F">
        <w:t xml:space="preserve">on a bi-annual basis </w:t>
      </w:r>
      <w:r w:rsidR="009E3A54" w:rsidRPr="00CA6A0F">
        <w:t>regarding the TU’s implementation of cultural awareness and safety strategies in all aspects of the TU’s work.</w:t>
      </w:r>
    </w:p>
    <w:p w14:paraId="20AD9BF8" w14:textId="74D111C2" w:rsidR="00CA77AA" w:rsidRPr="00CA77AA" w:rsidRDefault="00CA77AA" w:rsidP="00CA77AA">
      <w:pPr>
        <w:pStyle w:val="TUbodytext"/>
        <w:numPr>
          <w:ilvl w:val="0"/>
          <w:numId w:val="15"/>
        </w:numPr>
        <w:spacing w:before="0" w:after="0"/>
        <w:rPr>
          <w:rFonts w:asciiTheme="majorHAnsi" w:eastAsiaTheme="minorHAnsi" w:hAnsiTheme="majorHAnsi" w:cstheme="majorHAnsi"/>
          <w:bCs w:val="0"/>
          <w:color w:val="231F20"/>
          <w:szCs w:val="24"/>
        </w:rPr>
      </w:pPr>
      <w:r w:rsidRPr="00CA77AA">
        <w:rPr>
          <w:rFonts w:asciiTheme="majorHAnsi" w:eastAsiaTheme="minorHAnsi" w:hAnsiTheme="majorHAnsi" w:cstheme="majorHAnsi"/>
          <w:bCs w:val="0"/>
          <w:color w:val="231F20"/>
          <w:szCs w:val="24"/>
        </w:rPr>
        <w:t>Report on the implementation of this policy and the RAP in the Annual Report.</w:t>
      </w:r>
    </w:p>
    <w:p w14:paraId="0045D69A" w14:textId="77777777" w:rsidR="00E76FBF" w:rsidRPr="00CA6A0F" w:rsidRDefault="00E76FBF" w:rsidP="00B70345">
      <w:pPr>
        <w:pStyle w:val="TUlistpara"/>
      </w:pPr>
    </w:p>
    <w:p w14:paraId="72CFB387" w14:textId="45D541B1" w:rsidR="00E76FBF" w:rsidRPr="00CA6A0F" w:rsidRDefault="00E4238D" w:rsidP="00B70345">
      <w:pPr>
        <w:pStyle w:val="TUlistpara"/>
      </w:pPr>
      <w:r w:rsidRPr="00CA6A0F">
        <w:t xml:space="preserve">TU will also promote, encourage and support the </w:t>
      </w:r>
      <w:r w:rsidR="00DA0FFD" w:rsidRPr="00CA6A0F">
        <w:t xml:space="preserve">TAAS </w:t>
      </w:r>
      <w:r w:rsidRPr="00CA6A0F">
        <w:t>network to implement the principles of cultural awareness and safety through:</w:t>
      </w:r>
    </w:p>
    <w:p w14:paraId="67DE5598" w14:textId="3B11730C" w:rsidR="00E76FBF" w:rsidRPr="00CA6A0F" w:rsidRDefault="00E4238D" w:rsidP="00B70345">
      <w:pPr>
        <w:pStyle w:val="TUlistpara"/>
      </w:pPr>
      <w:r w:rsidRPr="00CA6A0F">
        <w:t>Encouraging Aboriginal and Torres Strait Islander people to apply for positions at the TAASs.</w:t>
      </w:r>
      <w:r w:rsidR="0076725A" w:rsidRPr="00CA6A0F">
        <w:t xml:space="preserve"> </w:t>
      </w:r>
    </w:p>
    <w:p w14:paraId="61B86B7D" w14:textId="4733669D" w:rsidR="00E76FBF" w:rsidRPr="00CA6A0F" w:rsidRDefault="00E4238D" w:rsidP="00B70345">
      <w:pPr>
        <w:pStyle w:val="TUlistpara"/>
      </w:pPr>
      <w:r w:rsidRPr="00CA6A0F">
        <w:t>Providing awareness-raising tools on issues affecting Aboriginal and Torres Strait Islander peoples</w:t>
      </w:r>
      <w:r w:rsidR="008A7B86" w:rsidRPr="00CA6A0F">
        <w:t>, including the Cultural Awareness package developed by Dtarawarra Aboriginal Resource Unit,</w:t>
      </w:r>
    </w:p>
    <w:p w14:paraId="66A5A00E" w14:textId="79F965F2" w:rsidR="00562028" w:rsidRPr="00CA6A0F" w:rsidRDefault="00E4238D" w:rsidP="00B70345">
      <w:pPr>
        <w:pStyle w:val="TUlistpara"/>
      </w:pPr>
      <w:r w:rsidRPr="00CA6A0F">
        <w:t>Developing the capacity of Aboriginal and Torres Strait Islander peoples, communities and organisations through education, employment and leadership opportunities.</w:t>
      </w:r>
      <w:r w:rsidR="00E76FBF" w:rsidRPr="00CA6A0F">
        <w:t xml:space="preserve"> </w:t>
      </w:r>
      <w:r w:rsidR="00562028" w:rsidRPr="00CA6A0F">
        <w:t xml:space="preserve"> </w:t>
      </w:r>
    </w:p>
    <w:p w14:paraId="39B15390" w14:textId="7E279CA9" w:rsidR="00562028" w:rsidRPr="00CA6A0F" w:rsidRDefault="00E4238D" w:rsidP="00B70345">
      <w:pPr>
        <w:pStyle w:val="TUlistpara"/>
      </w:pPr>
      <w:r w:rsidRPr="00CA6A0F">
        <w:t>Ensuring programs and policies are designed and delivered by Aboriginal and Torres Straits Islander peoples to overcome disadvantage and achieve outcomes to strengthen the leadership</w:t>
      </w:r>
      <w:r w:rsidR="0076725A" w:rsidRPr="00CA6A0F">
        <w:t xml:space="preserve"> </w:t>
      </w:r>
      <w:r w:rsidR="008A7B86" w:rsidRPr="00CA6A0F">
        <w:t>of communities</w:t>
      </w:r>
      <w:r w:rsidRPr="00CA6A0F">
        <w:t xml:space="preserve"> and access to justice.</w:t>
      </w:r>
      <w:r w:rsidR="00562028" w:rsidRPr="00CA6A0F">
        <w:t xml:space="preserve"> </w:t>
      </w:r>
    </w:p>
    <w:p w14:paraId="15743515" w14:textId="77777777" w:rsidR="00C17B4D" w:rsidRPr="00CA6A0F" w:rsidRDefault="00562028" w:rsidP="00B70345">
      <w:pPr>
        <w:pStyle w:val="TUlistpara"/>
      </w:pPr>
      <w:r w:rsidRPr="00CA6A0F">
        <w:lastRenderedPageBreak/>
        <w:t>Working collaboratively with the TAAS network</w:t>
      </w:r>
      <w:r w:rsidR="0076725A" w:rsidRPr="00CA6A0F">
        <w:t xml:space="preserve"> and other community organisations</w:t>
      </w:r>
      <w:r w:rsidRPr="00CA6A0F">
        <w:t xml:space="preserve"> to identify systemic issues affecting Aboriginal and Torres Strait Islander people and strategically advocate for the reform of unjust laws and government policies. </w:t>
      </w:r>
    </w:p>
    <w:p w14:paraId="14637D29" w14:textId="77777777" w:rsidR="0001750D" w:rsidRPr="00CA6A0F" w:rsidRDefault="0001750D" w:rsidP="00C17B4D">
      <w:pPr>
        <w:pStyle w:val="Heading1"/>
        <w:rPr>
          <w:rFonts w:asciiTheme="majorHAnsi" w:hAnsiTheme="majorHAnsi" w:cstheme="majorHAnsi"/>
        </w:rPr>
      </w:pPr>
    </w:p>
    <w:p w14:paraId="0671883C" w14:textId="77777777" w:rsidR="00C17B4D" w:rsidRPr="00CA6A0F" w:rsidRDefault="008A7B86" w:rsidP="00C17B4D">
      <w:pPr>
        <w:pStyle w:val="Heading1"/>
        <w:rPr>
          <w:rFonts w:asciiTheme="majorHAnsi" w:hAnsiTheme="majorHAnsi" w:cstheme="majorHAnsi"/>
        </w:rPr>
      </w:pPr>
      <w:r w:rsidRPr="00CA6A0F">
        <w:rPr>
          <w:rFonts w:asciiTheme="majorHAnsi" w:hAnsiTheme="majorHAnsi" w:cstheme="majorHAnsi"/>
        </w:rPr>
        <w:t xml:space="preserve">5 </w:t>
      </w:r>
      <w:r w:rsidR="00E76FBF" w:rsidRPr="00CA6A0F">
        <w:rPr>
          <w:rFonts w:asciiTheme="majorHAnsi" w:hAnsiTheme="majorHAnsi" w:cstheme="majorHAnsi"/>
        </w:rPr>
        <w:t>Breaches</w:t>
      </w:r>
    </w:p>
    <w:p w14:paraId="31FC5594" w14:textId="7BE80B32" w:rsidR="00C17B4D" w:rsidRPr="00B70345" w:rsidRDefault="00B70345" w:rsidP="00B70345">
      <w:pPr>
        <w:pStyle w:val="TUlistpara"/>
        <w:rPr>
          <w:rFonts w:asciiTheme="majorHAnsi" w:hAnsiTheme="majorHAnsi" w:cstheme="majorHAnsi"/>
        </w:rPr>
      </w:pPr>
      <w:r w:rsidRPr="00B70345">
        <w:t xml:space="preserve">The person alleging a breach of this policy should in the first instance attempt to resolve it directly with the person who has allegedly breached the policy, if considered appropriate and it is safe to do so. </w:t>
      </w:r>
      <w:r w:rsidR="00B12230" w:rsidRPr="00B70345">
        <w:rPr>
          <w:rFonts w:asciiTheme="majorHAnsi" w:hAnsiTheme="majorHAnsi" w:cstheme="majorHAnsi"/>
        </w:rPr>
        <w:t>If this matter is not resolved through this, the person alleging the breach may bring it to the attention of the EO. The EO will then attempt to resolve the matter informally through direct discussion with the person who has allegedly breac</w:t>
      </w:r>
      <w:r w:rsidR="00264625" w:rsidRPr="00B70345">
        <w:rPr>
          <w:rFonts w:asciiTheme="majorHAnsi" w:hAnsiTheme="majorHAnsi" w:cstheme="majorHAnsi"/>
        </w:rPr>
        <w:t>h</w:t>
      </w:r>
      <w:r w:rsidR="00B12230" w:rsidRPr="00B70345">
        <w:rPr>
          <w:rFonts w:asciiTheme="majorHAnsi" w:hAnsiTheme="majorHAnsi" w:cstheme="majorHAnsi"/>
        </w:rPr>
        <w:t>ed the policy.</w:t>
      </w:r>
    </w:p>
    <w:p w14:paraId="518252C6" w14:textId="77777777" w:rsidR="0001750D" w:rsidRPr="00CA6A0F" w:rsidRDefault="0001750D" w:rsidP="0001750D">
      <w:pPr>
        <w:pStyle w:val="TUbodytext"/>
        <w:spacing w:before="0" w:after="0"/>
        <w:rPr>
          <w:rFonts w:asciiTheme="majorHAnsi" w:hAnsiTheme="majorHAnsi" w:cstheme="majorHAnsi"/>
        </w:rPr>
      </w:pPr>
    </w:p>
    <w:p w14:paraId="55CA850A" w14:textId="77777777" w:rsidR="00C17B4D" w:rsidRPr="00CA6A0F" w:rsidRDefault="00B12230" w:rsidP="00B70345">
      <w:pPr>
        <w:pStyle w:val="TUlistpara"/>
      </w:pPr>
      <w:r w:rsidRPr="00CA6A0F">
        <w:t>If the matter is not resolve</w:t>
      </w:r>
      <w:r w:rsidR="00264625" w:rsidRPr="00CA6A0F">
        <w:t>d</w:t>
      </w:r>
      <w:r w:rsidRPr="00CA6A0F">
        <w:t xml:space="preserve"> at this stage, the EO may choose to address the matter through the TUs Grievance Policy.</w:t>
      </w:r>
      <w:r w:rsidR="00C17B4D" w:rsidRPr="00CA6A0F">
        <w:t xml:space="preserve"> </w:t>
      </w:r>
    </w:p>
    <w:p w14:paraId="0FAE4A14" w14:textId="77777777" w:rsidR="0001750D" w:rsidRPr="00CA6A0F" w:rsidRDefault="0001750D" w:rsidP="0001750D">
      <w:pPr>
        <w:pStyle w:val="TUbodytext"/>
        <w:spacing w:before="0" w:after="0"/>
        <w:rPr>
          <w:rFonts w:asciiTheme="majorHAnsi" w:hAnsiTheme="majorHAnsi" w:cstheme="majorHAnsi"/>
        </w:rPr>
      </w:pPr>
    </w:p>
    <w:p w14:paraId="0B6E3E12" w14:textId="77777777" w:rsidR="00C17B4D" w:rsidRPr="00CA6A0F" w:rsidRDefault="008A7B86" w:rsidP="00C17B4D">
      <w:pPr>
        <w:pStyle w:val="Heading1"/>
        <w:rPr>
          <w:rFonts w:asciiTheme="majorHAnsi" w:hAnsiTheme="majorHAnsi" w:cstheme="majorHAnsi"/>
        </w:rPr>
      </w:pPr>
      <w:r w:rsidRPr="00CA6A0F">
        <w:rPr>
          <w:rFonts w:asciiTheme="majorHAnsi" w:hAnsiTheme="majorHAnsi" w:cstheme="majorHAnsi"/>
        </w:rPr>
        <w:t xml:space="preserve">6 </w:t>
      </w:r>
      <w:r w:rsidR="00925F67" w:rsidRPr="00CA6A0F">
        <w:rPr>
          <w:rFonts w:asciiTheme="majorHAnsi" w:hAnsiTheme="majorHAnsi" w:cstheme="majorHAnsi"/>
        </w:rPr>
        <w:t>Review</w:t>
      </w:r>
    </w:p>
    <w:p w14:paraId="6A861F8D" w14:textId="77777777" w:rsidR="00C17B4D" w:rsidRPr="00CA6A0F" w:rsidRDefault="00925F67" w:rsidP="00B70345">
      <w:pPr>
        <w:pStyle w:val="TUlistpara"/>
      </w:pPr>
      <w:r w:rsidRPr="00CA6A0F">
        <w:t>This policy will be reviewed triennially by the TU Board or when changes are made to relevant legislation and regulations. Reviews will take into consideration input from staff. Any amendment must be approved by a meeting of the TU Board.</w:t>
      </w:r>
    </w:p>
    <w:p w14:paraId="5AEC70F4" w14:textId="77777777" w:rsidR="0001750D" w:rsidRPr="00CA6A0F" w:rsidRDefault="0001750D" w:rsidP="00C17B4D">
      <w:pPr>
        <w:pStyle w:val="Heading1"/>
        <w:rPr>
          <w:rFonts w:asciiTheme="majorHAnsi" w:hAnsiTheme="majorHAnsi" w:cstheme="majorHAnsi"/>
        </w:rPr>
      </w:pPr>
    </w:p>
    <w:p w14:paraId="6461D81B" w14:textId="77777777" w:rsidR="00C17B4D" w:rsidRPr="00CA6A0F" w:rsidRDefault="008A7B86" w:rsidP="00C17B4D">
      <w:pPr>
        <w:pStyle w:val="Heading1"/>
        <w:rPr>
          <w:rFonts w:asciiTheme="majorHAnsi" w:hAnsiTheme="majorHAnsi" w:cstheme="majorHAnsi"/>
        </w:rPr>
      </w:pPr>
      <w:r w:rsidRPr="00CA6A0F">
        <w:rPr>
          <w:rFonts w:asciiTheme="majorHAnsi" w:hAnsiTheme="majorHAnsi" w:cstheme="majorHAnsi"/>
        </w:rPr>
        <w:t xml:space="preserve">7 </w:t>
      </w:r>
      <w:r w:rsidR="005D4CC2" w:rsidRPr="00CA6A0F">
        <w:rPr>
          <w:rFonts w:asciiTheme="majorHAnsi" w:hAnsiTheme="majorHAnsi" w:cstheme="majorHAnsi"/>
        </w:rPr>
        <w:t>Version control</w:t>
      </w:r>
    </w:p>
    <w:p w14:paraId="614C7144" w14:textId="16DEFE5F" w:rsidR="00736C03" w:rsidRPr="00CA6A0F" w:rsidRDefault="003110F4" w:rsidP="00B70345">
      <w:pPr>
        <w:pStyle w:val="TUlistpara"/>
      </w:pPr>
      <w:r w:rsidRPr="00CA6A0F">
        <w:t>The E</w:t>
      </w:r>
      <w:r w:rsidR="007254BA" w:rsidRPr="00CA6A0F">
        <w:t>O</w:t>
      </w:r>
      <w:r w:rsidRPr="00CA6A0F">
        <w:t xml:space="preserve"> has version control of this policy</w:t>
      </w:r>
      <w:r w:rsidR="008A7B86" w:rsidRPr="00CA6A0F">
        <w:t>.</w:t>
      </w:r>
    </w:p>
    <w:tbl>
      <w:tblPr>
        <w:tblStyle w:val="TableGrid"/>
        <w:tblW w:w="0" w:type="auto"/>
        <w:tblLook w:val="04A0" w:firstRow="1" w:lastRow="0" w:firstColumn="1" w:lastColumn="0" w:noHBand="0" w:noVBand="1"/>
      </w:tblPr>
      <w:tblGrid>
        <w:gridCol w:w="3085"/>
        <w:gridCol w:w="1725"/>
        <w:gridCol w:w="2405"/>
        <w:gridCol w:w="2405"/>
      </w:tblGrid>
      <w:tr w:rsidR="00736C03" w:rsidRPr="00CA6A0F" w14:paraId="49BC911D" w14:textId="77777777" w:rsidTr="00736C03">
        <w:tc>
          <w:tcPr>
            <w:tcW w:w="9620" w:type="dxa"/>
            <w:gridSpan w:val="4"/>
            <w:shd w:val="clear" w:color="auto" w:fill="DDD9C3" w:themeFill="background2" w:themeFillShade="E6"/>
          </w:tcPr>
          <w:p w14:paraId="6A834A0C" w14:textId="76E62021"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lastRenderedPageBreak/>
              <w:t>Documents related to this policy</w:t>
            </w:r>
          </w:p>
        </w:tc>
      </w:tr>
      <w:tr w:rsidR="00736C03" w:rsidRPr="00CA6A0F" w14:paraId="421E9A16" w14:textId="77777777" w:rsidTr="00925F67">
        <w:tc>
          <w:tcPr>
            <w:tcW w:w="3085" w:type="dxa"/>
          </w:tcPr>
          <w:p w14:paraId="6217EECF" w14:textId="4DE16DC6"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 xml:space="preserve">Related </w:t>
            </w:r>
            <w:r w:rsidR="003E5DFF" w:rsidRPr="00CA6A0F">
              <w:rPr>
                <w:rFonts w:asciiTheme="majorHAnsi" w:hAnsiTheme="majorHAnsi" w:cstheme="majorHAnsi"/>
                <w:b/>
              </w:rPr>
              <w:t xml:space="preserve">TU </w:t>
            </w:r>
            <w:r w:rsidRPr="00CA6A0F">
              <w:rPr>
                <w:rFonts w:asciiTheme="majorHAnsi" w:hAnsiTheme="majorHAnsi" w:cstheme="majorHAnsi"/>
                <w:b/>
              </w:rPr>
              <w:t>policies</w:t>
            </w:r>
          </w:p>
        </w:tc>
        <w:tc>
          <w:tcPr>
            <w:tcW w:w="6535" w:type="dxa"/>
            <w:gridSpan w:val="3"/>
          </w:tcPr>
          <w:p w14:paraId="7CFF36CF" w14:textId="77777777" w:rsidR="0045120D" w:rsidRPr="00CA6A0F" w:rsidRDefault="003110F4" w:rsidP="00F137E0">
            <w:pPr>
              <w:pStyle w:val="TUbodytext"/>
              <w:keepLines/>
              <w:rPr>
                <w:rFonts w:asciiTheme="majorHAnsi" w:hAnsiTheme="majorHAnsi" w:cstheme="majorHAnsi"/>
              </w:rPr>
            </w:pPr>
            <w:r w:rsidRPr="00CA6A0F">
              <w:rPr>
                <w:rFonts w:asciiTheme="majorHAnsi" w:hAnsiTheme="majorHAnsi" w:cstheme="majorHAnsi"/>
              </w:rPr>
              <w:t>Access and Equity</w:t>
            </w:r>
          </w:p>
          <w:p w14:paraId="59DE51C5" w14:textId="77777777" w:rsidR="003110F4" w:rsidRPr="00CA6A0F" w:rsidRDefault="003110F4" w:rsidP="00F137E0">
            <w:pPr>
              <w:pStyle w:val="TUbodytext"/>
              <w:keepLines/>
              <w:rPr>
                <w:rFonts w:asciiTheme="majorHAnsi" w:hAnsiTheme="majorHAnsi" w:cstheme="majorHAnsi"/>
              </w:rPr>
            </w:pPr>
            <w:r w:rsidRPr="00CA6A0F">
              <w:rPr>
                <w:rFonts w:asciiTheme="majorHAnsi" w:hAnsiTheme="majorHAnsi" w:cstheme="majorHAnsi"/>
              </w:rPr>
              <w:t>Anti-Discrimination, Harassment and Bullying</w:t>
            </w:r>
          </w:p>
          <w:p w14:paraId="3BB638AD" w14:textId="77777777" w:rsidR="003110F4" w:rsidRPr="00CA6A0F" w:rsidRDefault="003110F4" w:rsidP="00F137E0">
            <w:pPr>
              <w:pStyle w:val="TUbodytext"/>
              <w:rPr>
                <w:rFonts w:asciiTheme="majorHAnsi" w:hAnsiTheme="majorHAnsi" w:cstheme="majorHAnsi"/>
              </w:rPr>
            </w:pPr>
            <w:r w:rsidRPr="00CA6A0F">
              <w:rPr>
                <w:rFonts w:asciiTheme="majorHAnsi" w:hAnsiTheme="majorHAnsi" w:cstheme="majorHAnsi"/>
              </w:rPr>
              <w:t>Equal Employment Opportunity</w:t>
            </w:r>
          </w:p>
          <w:p w14:paraId="2AB0223F" w14:textId="58A91E3C" w:rsidR="0001750D" w:rsidRPr="00CA6A0F" w:rsidRDefault="0001750D" w:rsidP="00F137E0">
            <w:pPr>
              <w:pStyle w:val="TUbodytext"/>
              <w:rPr>
                <w:rFonts w:asciiTheme="majorHAnsi" w:hAnsiTheme="majorHAnsi" w:cstheme="majorHAnsi"/>
                <w:lang w:val="en-US"/>
              </w:rPr>
            </w:pPr>
            <w:r w:rsidRPr="00CA6A0F">
              <w:rPr>
                <w:rFonts w:asciiTheme="majorHAnsi" w:hAnsiTheme="majorHAnsi" w:cstheme="majorHAnsi"/>
              </w:rPr>
              <w:t>Reconciliation Action Plan</w:t>
            </w:r>
          </w:p>
        </w:tc>
      </w:tr>
      <w:tr w:rsidR="00736C03" w:rsidRPr="00CA6A0F" w14:paraId="1C65F07D" w14:textId="77777777" w:rsidTr="00925F67">
        <w:trPr>
          <w:trHeight w:val="148"/>
        </w:trPr>
        <w:tc>
          <w:tcPr>
            <w:tcW w:w="3085" w:type="dxa"/>
          </w:tcPr>
          <w:p w14:paraId="2B0A179C" w14:textId="40F3DD44"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Forms, record keeping or other organisational documents</w:t>
            </w:r>
          </w:p>
        </w:tc>
        <w:tc>
          <w:tcPr>
            <w:tcW w:w="6535" w:type="dxa"/>
            <w:gridSpan w:val="3"/>
          </w:tcPr>
          <w:p w14:paraId="26A82A27" w14:textId="526BF741" w:rsidR="00AD7F1A" w:rsidRPr="00CA6A0F" w:rsidRDefault="003110F4" w:rsidP="00CE6630">
            <w:pPr>
              <w:pStyle w:val="TUbodytext"/>
              <w:keepLines/>
              <w:rPr>
                <w:rFonts w:asciiTheme="majorHAnsi" w:hAnsiTheme="majorHAnsi" w:cstheme="majorHAnsi"/>
              </w:rPr>
            </w:pPr>
            <w:r w:rsidRPr="00CA6A0F">
              <w:rPr>
                <w:rFonts w:asciiTheme="majorHAnsi" w:hAnsiTheme="majorHAnsi" w:cstheme="majorHAnsi"/>
              </w:rPr>
              <w:t>N/A</w:t>
            </w:r>
          </w:p>
        </w:tc>
      </w:tr>
      <w:tr w:rsidR="00736C03" w:rsidRPr="00CA6A0F" w14:paraId="17860A42" w14:textId="77777777" w:rsidTr="00736C03">
        <w:tc>
          <w:tcPr>
            <w:tcW w:w="9620" w:type="dxa"/>
            <w:gridSpan w:val="4"/>
            <w:shd w:val="clear" w:color="auto" w:fill="DDD9C3" w:themeFill="background2" w:themeFillShade="E6"/>
          </w:tcPr>
          <w:p w14:paraId="4E75C7FD" w14:textId="506E54AF"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Reviewing and approving this policy</w:t>
            </w:r>
          </w:p>
        </w:tc>
      </w:tr>
      <w:tr w:rsidR="00736C03" w:rsidRPr="00CA6A0F" w14:paraId="65D4EE5E" w14:textId="77777777" w:rsidTr="00925F67">
        <w:tc>
          <w:tcPr>
            <w:tcW w:w="3085" w:type="dxa"/>
          </w:tcPr>
          <w:p w14:paraId="0C44352F" w14:textId="39E1105E"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Frequency</w:t>
            </w:r>
          </w:p>
        </w:tc>
        <w:tc>
          <w:tcPr>
            <w:tcW w:w="4130" w:type="dxa"/>
            <w:gridSpan w:val="2"/>
          </w:tcPr>
          <w:p w14:paraId="69AEB92F" w14:textId="0A3DB14E"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Position responsible for managing review</w:t>
            </w:r>
          </w:p>
        </w:tc>
        <w:tc>
          <w:tcPr>
            <w:tcW w:w="2405" w:type="dxa"/>
          </w:tcPr>
          <w:p w14:paraId="6F031F4E" w14:textId="7BC7B7ED"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Approver of policy</w:t>
            </w:r>
          </w:p>
        </w:tc>
      </w:tr>
      <w:tr w:rsidR="00736C03" w:rsidRPr="00CA6A0F" w14:paraId="21D869F5" w14:textId="77777777" w:rsidTr="00925F67">
        <w:tc>
          <w:tcPr>
            <w:tcW w:w="3085" w:type="dxa"/>
          </w:tcPr>
          <w:p w14:paraId="34C96FE1" w14:textId="0E0FE276" w:rsidR="00736C03" w:rsidRPr="00CA6A0F" w:rsidRDefault="003110F4" w:rsidP="00F22410">
            <w:pPr>
              <w:pStyle w:val="TUbodytext"/>
              <w:keepLines/>
              <w:rPr>
                <w:rFonts w:asciiTheme="majorHAnsi" w:hAnsiTheme="majorHAnsi" w:cstheme="majorHAnsi"/>
              </w:rPr>
            </w:pPr>
            <w:r w:rsidRPr="00CA6A0F">
              <w:rPr>
                <w:rFonts w:asciiTheme="majorHAnsi" w:hAnsiTheme="majorHAnsi" w:cstheme="majorHAnsi"/>
              </w:rPr>
              <w:t>Trienn</w:t>
            </w:r>
            <w:r w:rsidR="007254BA" w:rsidRPr="00CA6A0F">
              <w:rPr>
                <w:rFonts w:asciiTheme="majorHAnsi" w:hAnsiTheme="majorHAnsi" w:cstheme="majorHAnsi"/>
              </w:rPr>
              <w:t>i</w:t>
            </w:r>
            <w:r w:rsidRPr="00CA6A0F">
              <w:rPr>
                <w:rFonts w:asciiTheme="majorHAnsi" w:hAnsiTheme="majorHAnsi" w:cstheme="majorHAnsi"/>
              </w:rPr>
              <w:t>ally</w:t>
            </w:r>
          </w:p>
        </w:tc>
        <w:tc>
          <w:tcPr>
            <w:tcW w:w="4130" w:type="dxa"/>
            <w:gridSpan w:val="2"/>
          </w:tcPr>
          <w:p w14:paraId="5D530316" w14:textId="6CA012B8" w:rsidR="00736C03" w:rsidRPr="00CA6A0F" w:rsidRDefault="003110F4" w:rsidP="00264625">
            <w:pPr>
              <w:pStyle w:val="TUbodytext"/>
              <w:keepLines/>
              <w:rPr>
                <w:rFonts w:asciiTheme="majorHAnsi" w:hAnsiTheme="majorHAnsi" w:cstheme="majorHAnsi"/>
              </w:rPr>
            </w:pPr>
            <w:r w:rsidRPr="00CA6A0F">
              <w:rPr>
                <w:rFonts w:asciiTheme="majorHAnsi" w:hAnsiTheme="majorHAnsi" w:cstheme="majorHAnsi"/>
              </w:rPr>
              <w:t>EO</w:t>
            </w:r>
          </w:p>
        </w:tc>
        <w:tc>
          <w:tcPr>
            <w:tcW w:w="2405" w:type="dxa"/>
          </w:tcPr>
          <w:p w14:paraId="54AA3C4E" w14:textId="61AD7D17" w:rsidR="00736C03" w:rsidRPr="00CA6A0F" w:rsidRDefault="00CE6630" w:rsidP="00925F67">
            <w:pPr>
              <w:pStyle w:val="TUbodytext"/>
              <w:keepLines/>
              <w:rPr>
                <w:rFonts w:asciiTheme="majorHAnsi" w:hAnsiTheme="majorHAnsi" w:cstheme="majorHAnsi"/>
              </w:rPr>
            </w:pPr>
            <w:r w:rsidRPr="00CA6A0F">
              <w:rPr>
                <w:rFonts w:asciiTheme="majorHAnsi" w:hAnsiTheme="majorHAnsi" w:cstheme="majorHAnsi"/>
              </w:rPr>
              <w:t>TU Board</w:t>
            </w:r>
          </w:p>
        </w:tc>
      </w:tr>
      <w:tr w:rsidR="00736C03" w:rsidRPr="00CA6A0F" w14:paraId="3AF7C7F7" w14:textId="77777777" w:rsidTr="00736C03">
        <w:tc>
          <w:tcPr>
            <w:tcW w:w="9620" w:type="dxa"/>
            <w:gridSpan w:val="4"/>
            <w:shd w:val="clear" w:color="auto" w:fill="DDD9C3" w:themeFill="background2" w:themeFillShade="E6"/>
          </w:tcPr>
          <w:p w14:paraId="369CDDDA" w14:textId="0EDD65A8" w:rsidR="00736C03" w:rsidRPr="00CA6A0F" w:rsidRDefault="003110F4" w:rsidP="00F22410">
            <w:pPr>
              <w:pStyle w:val="TUbodytext"/>
              <w:rPr>
                <w:rFonts w:asciiTheme="majorHAnsi" w:hAnsiTheme="majorHAnsi" w:cstheme="majorHAnsi"/>
                <w:b/>
              </w:rPr>
            </w:pPr>
            <w:r w:rsidRPr="00CA6A0F">
              <w:rPr>
                <w:rFonts w:asciiTheme="majorHAnsi" w:hAnsiTheme="majorHAnsi" w:cstheme="majorHAnsi"/>
              </w:rPr>
              <w:br w:type="page"/>
            </w:r>
            <w:r w:rsidR="00736C03" w:rsidRPr="00CA6A0F">
              <w:rPr>
                <w:rFonts w:asciiTheme="majorHAnsi" w:hAnsiTheme="majorHAnsi" w:cstheme="majorHAnsi"/>
                <w:b/>
              </w:rPr>
              <w:t>Policy review and version tracking</w:t>
            </w:r>
          </w:p>
        </w:tc>
      </w:tr>
      <w:tr w:rsidR="00736C03" w:rsidRPr="00CA6A0F" w14:paraId="5AD723EA" w14:textId="77777777" w:rsidTr="00925F67">
        <w:tc>
          <w:tcPr>
            <w:tcW w:w="3085" w:type="dxa"/>
          </w:tcPr>
          <w:p w14:paraId="4EBF2B6B" w14:textId="55CE0227"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Review No.</w:t>
            </w:r>
          </w:p>
        </w:tc>
        <w:tc>
          <w:tcPr>
            <w:tcW w:w="1725" w:type="dxa"/>
          </w:tcPr>
          <w:p w14:paraId="16F175CD" w14:textId="5B356364"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Date approved</w:t>
            </w:r>
          </w:p>
        </w:tc>
        <w:tc>
          <w:tcPr>
            <w:tcW w:w="2405" w:type="dxa"/>
          </w:tcPr>
          <w:p w14:paraId="4840E95A" w14:textId="2A32C946"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Approved by</w:t>
            </w:r>
          </w:p>
        </w:tc>
        <w:tc>
          <w:tcPr>
            <w:tcW w:w="2405" w:type="dxa"/>
          </w:tcPr>
          <w:p w14:paraId="7D44FE27" w14:textId="79604304" w:rsidR="00736C03" w:rsidRPr="00CA6A0F" w:rsidRDefault="00736C03" w:rsidP="00F22410">
            <w:pPr>
              <w:pStyle w:val="TUbodytext"/>
              <w:rPr>
                <w:rFonts w:asciiTheme="majorHAnsi" w:hAnsiTheme="majorHAnsi" w:cstheme="majorHAnsi"/>
                <w:b/>
              </w:rPr>
            </w:pPr>
            <w:r w:rsidRPr="00CA6A0F">
              <w:rPr>
                <w:rFonts w:asciiTheme="majorHAnsi" w:hAnsiTheme="majorHAnsi" w:cstheme="majorHAnsi"/>
                <w:b/>
              </w:rPr>
              <w:t>Next review date</w:t>
            </w:r>
          </w:p>
        </w:tc>
      </w:tr>
      <w:tr w:rsidR="00736C03" w:rsidRPr="00CA6A0F" w14:paraId="05FCFEF7" w14:textId="77777777" w:rsidTr="00925F67">
        <w:tc>
          <w:tcPr>
            <w:tcW w:w="3085" w:type="dxa"/>
          </w:tcPr>
          <w:p w14:paraId="0AD71021" w14:textId="45E5C083" w:rsidR="00736C03" w:rsidRPr="00CA6A0F" w:rsidRDefault="003110F4" w:rsidP="00F61AE1">
            <w:pPr>
              <w:pStyle w:val="BNGNormal"/>
              <w:numPr>
                <w:ilvl w:val="0"/>
                <w:numId w:val="0"/>
              </w:numPr>
              <w:rPr>
                <w:rFonts w:asciiTheme="majorHAnsi" w:hAnsiTheme="majorHAnsi" w:cstheme="majorHAnsi"/>
                <w:color w:val="auto"/>
              </w:rPr>
            </w:pPr>
            <w:r w:rsidRPr="00CA6A0F">
              <w:rPr>
                <w:rFonts w:asciiTheme="majorHAnsi" w:hAnsiTheme="majorHAnsi" w:cstheme="majorHAnsi"/>
                <w:color w:val="auto"/>
              </w:rPr>
              <w:t>1#</w:t>
            </w:r>
          </w:p>
        </w:tc>
        <w:tc>
          <w:tcPr>
            <w:tcW w:w="1725" w:type="dxa"/>
          </w:tcPr>
          <w:p w14:paraId="7792814D" w14:textId="2C50D5A8" w:rsidR="00736C03" w:rsidRPr="00CA6A0F" w:rsidRDefault="009A16EC" w:rsidP="00F61AE1">
            <w:pPr>
              <w:pStyle w:val="BNGNormal"/>
              <w:numPr>
                <w:ilvl w:val="0"/>
                <w:numId w:val="0"/>
              </w:numPr>
              <w:rPr>
                <w:rFonts w:asciiTheme="majorHAnsi" w:hAnsiTheme="majorHAnsi" w:cstheme="majorHAnsi"/>
                <w:color w:val="auto"/>
              </w:rPr>
            </w:pPr>
            <w:r w:rsidRPr="00CA6A0F">
              <w:rPr>
                <w:rFonts w:asciiTheme="majorHAnsi" w:hAnsiTheme="majorHAnsi" w:cstheme="majorHAnsi"/>
                <w:color w:val="auto"/>
              </w:rPr>
              <w:t>Oct 2014</w:t>
            </w:r>
          </w:p>
        </w:tc>
        <w:tc>
          <w:tcPr>
            <w:tcW w:w="2405" w:type="dxa"/>
          </w:tcPr>
          <w:p w14:paraId="4A775378" w14:textId="7A9A75D6" w:rsidR="00736C03" w:rsidRPr="00CA6A0F" w:rsidRDefault="009A16EC" w:rsidP="00E03E24">
            <w:pPr>
              <w:pStyle w:val="BNGNormal"/>
              <w:numPr>
                <w:ilvl w:val="0"/>
                <w:numId w:val="0"/>
              </w:numPr>
              <w:rPr>
                <w:rFonts w:asciiTheme="majorHAnsi" w:hAnsiTheme="majorHAnsi" w:cstheme="majorHAnsi"/>
                <w:color w:val="auto"/>
              </w:rPr>
            </w:pPr>
            <w:r w:rsidRPr="00CA6A0F">
              <w:rPr>
                <w:rFonts w:asciiTheme="majorHAnsi" w:hAnsiTheme="majorHAnsi" w:cstheme="majorHAnsi"/>
                <w:color w:val="auto"/>
              </w:rPr>
              <w:t xml:space="preserve">TU </w:t>
            </w:r>
            <w:r w:rsidR="00E03E24" w:rsidRPr="00CA6A0F">
              <w:rPr>
                <w:rFonts w:asciiTheme="majorHAnsi" w:hAnsiTheme="majorHAnsi" w:cstheme="majorHAnsi"/>
                <w:color w:val="auto"/>
              </w:rPr>
              <w:t>Board</w:t>
            </w:r>
          </w:p>
        </w:tc>
        <w:tc>
          <w:tcPr>
            <w:tcW w:w="2405" w:type="dxa"/>
          </w:tcPr>
          <w:p w14:paraId="5EC9FD08" w14:textId="04B9BC47" w:rsidR="00736C03" w:rsidRPr="00CA6A0F" w:rsidRDefault="009A16EC" w:rsidP="00F61AE1">
            <w:pPr>
              <w:pStyle w:val="BNGNormal"/>
              <w:numPr>
                <w:ilvl w:val="0"/>
                <w:numId w:val="0"/>
              </w:numPr>
              <w:rPr>
                <w:rFonts w:asciiTheme="majorHAnsi" w:hAnsiTheme="majorHAnsi" w:cstheme="majorHAnsi"/>
                <w:color w:val="auto"/>
              </w:rPr>
            </w:pPr>
            <w:r w:rsidRPr="00CA6A0F">
              <w:rPr>
                <w:rFonts w:asciiTheme="majorHAnsi" w:hAnsiTheme="majorHAnsi" w:cstheme="majorHAnsi"/>
                <w:color w:val="auto"/>
              </w:rPr>
              <w:t>Oct 2017</w:t>
            </w:r>
          </w:p>
        </w:tc>
      </w:tr>
    </w:tbl>
    <w:p w14:paraId="3C15DBC1" w14:textId="2B6BC21B" w:rsidR="00CA77AA" w:rsidRDefault="00CA77AA" w:rsidP="003110F4">
      <w:pPr>
        <w:pStyle w:val="TUbodytext"/>
        <w:jc w:val="center"/>
        <w:rPr>
          <w:rFonts w:ascii="Roboto" w:hAnsi="Roboto"/>
        </w:rPr>
      </w:pPr>
    </w:p>
    <w:p w14:paraId="60024E90" w14:textId="77777777" w:rsidR="00CA77AA" w:rsidRDefault="00CA77AA">
      <w:pPr>
        <w:keepNext w:val="0"/>
        <w:spacing w:before="0" w:after="0"/>
        <w:outlineLvl w:val="9"/>
        <w:rPr>
          <w:rFonts w:ascii="Roboto" w:hAnsi="Roboto"/>
          <w:b w:val="0"/>
        </w:rPr>
      </w:pPr>
      <w:r>
        <w:rPr>
          <w:rFonts w:ascii="Roboto" w:hAnsi="Roboto"/>
        </w:rPr>
        <w:br w:type="page"/>
      </w:r>
    </w:p>
    <w:p w14:paraId="709BFDFD" w14:textId="5C72E523" w:rsidR="00CE6630" w:rsidRPr="00CA77AA" w:rsidRDefault="00CA77AA" w:rsidP="003110F4">
      <w:pPr>
        <w:pStyle w:val="TUbodytext"/>
        <w:jc w:val="center"/>
        <w:rPr>
          <w:rFonts w:asciiTheme="majorHAnsi" w:hAnsiTheme="majorHAnsi" w:cstheme="majorHAnsi"/>
          <w:b/>
          <w:sz w:val="28"/>
          <w:szCs w:val="28"/>
        </w:rPr>
      </w:pPr>
      <w:r w:rsidRPr="00CA77AA">
        <w:rPr>
          <w:rFonts w:asciiTheme="majorHAnsi" w:hAnsiTheme="majorHAnsi" w:cstheme="majorHAnsi"/>
          <w:b/>
          <w:sz w:val="28"/>
          <w:szCs w:val="28"/>
        </w:rPr>
        <w:lastRenderedPageBreak/>
        <w:t xml:space="preserve">Appendix 1 </w:t>
      </w:r>
    </w:p>
    <w:p w14:paraId="538CD276" w14:textId="67405F17" w:rsidR="00CA77AA" w:rsidRPr="00CA77AA" w:rsidRDefault="00CA77AA" w:rsidP="003110F4">
      <w:pPr>
        <w:pStyle w:val="TUbodytext"/>
        <w:jc w:val="center"/>
        <w:rPr>
          <w:rFonts w:asciiTheme="majorHAnsi" w:hAnsiTheme="majorHAnsi" w:cstheme="majorHAnsi"/>
          <w:b/>
          <w:sz w:val="28"/>
          <w:szCs w:val="28"/>
        </w:rPr>
      </w:pPr>
      <w:r w:rsidRPr="00CA77AA">
        <w:rPr>
          <w:rFonts w:asciiTheme="majorHAnsi" w:hAnsiTheme="majorHAnsi" w:cstheme="majorHAnsi"/>
          <w:b/>
          <w:sz w:val="28"/>
          <w:szCs w:val="28"/>
        </w:rPr>
        <w:t>TU Aboriginal Advisory Committee</w:t>
      </w:r>
    </w:p>
    <w:p w14:paraId="3ECD5B9D" w14:textId="4A9F37B1" w:rsidR="00CA77AA" w:rsidRPr="00CA77AA" w:rsidRDefault="00CA77AA" w:rsidP="003110F4">
      <w:pPr>
        <w:pStyle w:val="TUbodytext"/>
        <w:jc w:val="center"/>
        <w:rPr>
          <w:rFonts w:asciiTheme="majorHAnsi" w:hAnsiTheme="majorHAnsi" w:cstheme="majorHAnsi"/>
          <w:b/>
          <w:sz w:val="28"/>
          <w:szCs w:val="28"/>
        </w:rPr>
      </w:pPr>
      <w:r w:rsidRPr="00CA77AA">
        <w:rPr>
          <w:rFonts w:asciiTheme="majorHAnsi" w:hAnsiTheme="majorHAnsi" w:cstheme="majorHAnsi"/>
          <w:b/>
          <w:sz w:val="28"/>
          <w:szCs w:val="28"/>
        </w:rPr>
        <w:t>Terms of Reference</w:t>
      </w:r>
      <w:r w:rsidR="00D913A8">
        <w:rPr>
          <w:rFonts w:asciiTheme="majorHAnsi" w:hAnsiTheme="majorHAnsi" w:cstheme="majorHAnsi"/>
          <w:b/>
          <w:sz w:val="28"/>
          <w:szCs w:val="28"/>
        </w:rPr>
        <w:t xml:space="preserve"> – March 2018</w:t>
      </w:r>
    </w:p>
    <w:p w14:paraId="27543F9A" w14:textId="77777777" w:rsidR="00D913A8" w:rsidRPr="00D913A8" w:rsidRDefault="00D913A8" w:rsidP="00D913A8">
      <w:pPr>
        <w:keepNext w:val="0"/>
        <w:spacing w:before="0" w:after="0"/>
        <w:ind w:left="567"/>
        <w:jc w:val="center"/>
        <w:outlineLvl w:val="9"/>
        <w:rPr>
          <w:rFonts w:asciiTheme="majorHAnsi" w:eastAsia="Times New Roman" w:hAnsiTheme="majorHAnsi" w:cstheme="majorHAnsi"/>
          <w:bCs w:val="0"/>
          <w:lang w:eastAsia="en-US"/>
        </w:rPr>
      </w:pPr>
    </w:p>
    <w:p w14:paraId="6618B296" w14:textId="77777777" w:rsidR="00D913A8" w:rsidRPr="00D913A8" w:rsidRDefault="00D913A8" w:rsidP="00D913A8">
      <w:pPr>
        <w:keepNext w:val="0"/>
        <w:spacing w:before="0" w:after="0"/>
        <w:ind w:left="567"/>
        <w:outlineLvl w:val="9"/>
        <w:rPr>
          <w:rFonts w:asciiTheme="majorHAnsi" w:eastAsia="Times New Roman" w:hAnsiTheme="majorHAnsi" w:cstheme="majorHAnsi"/>
          <w:bCs w:val="0"/>
          <w:lang w:eastAsia="en-US"/>
        </w:rPr>
      </w:pPr>
      <w:r w:rsidRPr="00D913A8">
        <w:rPr>
          <w:rFonts w:asciiTheme="majorHAnsi" w:eastAsia="Times New Roman" w:hAnsiTheme="majorHAnsi" w:cstheme="majorHAnsi"/>
          <w:bCs w:val="0"/>
          <w:lang w:eastAsia="en-US"/>
        </w:rPr>
        <w:t>Membership</w:t>
      </w:r>
    </w:p>
    <w:p w14:paraId="5C8814CF"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The TU will appoint a committee of 7-10 members for the purpose of providing advice and support to the Tenants Union. Members must be Aboriginal or Torres Strait Islander, residing in New South Wales and are desired to have knowledge of tenancy and housing issues affecting Aboriginal or Torres Strait Islander people in NSW. Members will hold a minimum 12-month term.</w:t>
      </w:r>
    </w:p>
    <w:p w14:paraId="6B932DC0"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p>
    <w:p w14:paraId="084F15D1"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The committee will have members representing the following organisations/demographics where available:</w:t>
      </w:r>
    </w:p>
    <w:p w14:paraId="5D04982A" w14:textId="77777777" w:rsidR="00D913A8" w:rsidRPr="00D913A8" w:rsidRDefault="00D913A8" w:rsidP="00D913A8">
      <w:pPr>
        <w:keepNext w:val="0"/>
        <w:numPr>
          <w:ilvl w:val="0"/>
          <w:numId w:val="23"/>
        </w:numPr>
        <w:spacing w:before="0" w:after="0"/>
        <w:ind w:left="993" w:hanging="426"/>
        <w:contextualSpacing/>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Aboriginal Resource Unit</w:t>
      </w:r>
    </w:p>
    <w:p w14:paraId="144E67AA" w14:textId="77777777" w:rsidR="00D913A8" w:rsidRPr="00D913A8" w:rsidRDefault="00D913A8" w:rsidP="00D913A8">
      <w:pPr>
        <w:keepNext w:val="0"/>
        <w:numPr>
          <w:ilvl w:val="0"/>
          <w:numId w:val="23"/>
        </w:numPr>
        <w:spacing w:before="0" w:after="0"/>
        <w:ind w:left="993" w:hanging="426"/>
        <w:contextualSpacing/>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Aboriginal TAAP network (city and regional representative)</w:t>
      </w:r>
    </w:p>
    <w:p w14:paraId="1EEBA785" w14:textId="77777777" w:rsidR="00D913A8" w:rsidRPr="00D913A8" w:rsidRDefault="00D913A8" w:rsidP="00D913A8">
      <w:pPr>
        <w:keepNext w:val="0"/>
        <w:numPr>
          <w:ilvl w:val="0"/>
          <w:numId w:val="23"/>
        </w:numPr>
        <w:spacing w:before="0" w:after="0"/>
        <w:ind w:left="993" w:hanging="426"/>
        <w:contextualSpacing/>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Student or young person under 25 years.</w:t>
      </w:r>
    </w:p>
    <w:p w14:paraId="51866D16" w14:textId="77777777" w:rsidR="00D913A8" w:rsidRPr="00D913A8" w:rsidRDefault="00D913A8" w:rsidP="00D913A8">
      <w:pPr>
        <w:keepNext w:val="0"/>
        <w:numPr>
          <w:ilvl w:val="0"/>
          <w:numId w:val="23"/>
        </w:numPr>
        <w:spacing w:before="0" w:after="0"/>
        <w:ind w:left="993" w:hanging="426"/>
        <w:contextualSpacing/>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CLC Aboriginal Advisory Group and/or ALAP</w:t>
      </w:r>
      <w:r w:rsidRPr="00D913A8">
        <w:rPr>
          <w:rFonts w:asciiTheme="majorHAnsi" w:eastAsia="Times New Roman" w:hAnsiTheme="majorHAnsi" w:cstheme="majorHAnsi"/>
          <w:b w:val="0"/>
          <w:bCs w:val="0"/>
          <w:lang w:eastAsia="en-US"/>
        </w:rPr>
        <w:tab/>
      </w:r>
    </w:p>
    <w:p w14:paraId="2D13C1AE" w14:textId="77777777" w:rsidR="00D913A8" w:rsidRPr="00D913A8" w:rsidRDefault="00D913A8" w:rsidP="00D913A8">
      <w:pPr>
        <w:keepNext w:val="0"/>
        <w:numPr>
          <w:ilvl w:val="0"/>
          <w:numId w:val="23"/>
        </w:numPr>
        <w:spacing w:before="0" w:after="0"/>
        <w:ind w:left="993" w:hanging="426"/>
        <w:contextualSpacing/>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 xml:space="preserve">Legal Aid </w:t>
      </w:r>
    </w:p>
    <w:p w14:paraId="69F9FE22"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p>
    <w:p w14:paraId="36975AF5"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The committee will seek to ensure a balanced gender ratio of members and a diversity of skills, qualifications and experiences.</w:t>
      </w:r>
    </w:p>
    <w:p w14:paraId="67894577"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p>
    <w:p w14:paraId="183AC59E"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TU staff members including the Aboriginal Legal Officer, Aboriginal Paralegal, Policy Officer and Executive Officer participate in the meetings, but are not members of the Committee. Other TU staff and board members may attend the meeting at the invitation of the Committee.</w:t>
      </w:r>
    </w:p>
    <w:p w14:paraId="21BBFAA5"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p>
    <w:p w14:paraId="438B40EA" w14:textId="77777777" w:rsidR="00D913A8" w:rsidRPr="00D913A8" w:rsidRDefault="00D913A8" w:rsidP="00D913A8">
      <w:pPr>
        <w:keepNext w:val="0"/>
        <w:spacing w:before="0" w:after="0"/>
        <w:ind w:left="567"/>
        <w:outlineLvl w:val="9"/>
        <w:rPr>
          <w:rFonts w:asciiTheme="majorHAnsi" w:eastAsia="Times New Roman" w:hAnsiTheme="majorHAnsi" w:cstheme="majorHAnsi"/>
          <w:bCs w:val="0"/>
          <w:lang w:eastAsia="en-US"/>
        </w:rPr>
      </w:pPr>
      <w:r w:rsidRPr="00D913A8">
        <w:rPr>
          <w:rFonts w:asciiTheme="majorHAnsi" w:eastAsia="Times New Roman" w:hAnsiTheme="majorHAnsi" w:cstheme="majorHAnsi"/>
          <w:bCs w:val="0"/>
          <w:lang w:eastAsia="en-US"/>
        </w:rPr>
        <w:t>Role of Committee</w:t>
      </w:r>
    </w:p>
    <w:p w14:paraId="50463AF5"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The committee advises the Tenants Union (TU) about the setting and achievement of strategic directions in law, policy, resources and training relating to Aboriginal or Torres Strait Islander people including:</w:t>
      </w:r>
    </w:p>
    <w:p w14:paraId="31509CB3" w14:textId="77777777" w:rsidR="00D913A8" w:rsidRPr="00D913A8" w:rsidRDefault="00D913A8" w:rsidP="00D913A8">
      <w:pPr>
        <w:keepNext w:val="0"/>
        <w:numPr>
          <w:ilvl w:val="0"/>
          <w:numId w:val="22"/>
        </w:numPr>
        <w:spacing w:before="0" w:after="0"/>
        <w:ind w:left="993" w:hanging="426"/>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Delivering culturally appropriate services;</w:t>
      </w:r>
    </w:p>
    <w:p w14:paraId="7C9854BE" w14:textId="77777777" w:rsidR="00D913A8" w:rsidRPr="00D913A8" w:rsidRDefault="00D913A8" w:rsidP="00D913A8">
      <w:pPr>
        <w:keepNext w:val="0"/>
        <w:numPr>
          <w:ilvl w:val="0"/>
          <w:numId w:val="22"/>
        </w:numPr>
        <w:spacing w:before="0" w:after="0"/>
        <w:ind w:left="993" w:hanging="426"/>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 xml:space="preserve">Issues affecting Aboriginal tenants and the Aboriginal population in general; </w:t>
      </w:r>
    </w:p>
    <w:p w14:paraId="7AF7F56E" w14:textId="77777777" w:rsidR="00D913A8" w:rsidRPr="00D913A8" w:rsidRDefault="00D913A8" w:rsidP="00D913A8">
      <w:pPr>
        <w:keepNext w:val="0"/>
        <w:numPr>
          <w:ilvl w:val="0"/>
          <w:numId w:val="22"/>
        </w:numPr>
        <w:spacing w:before="0" w:after="0"/>
        <w:ind w:left="993" w:hanging="426"/>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 xml:space="preserve">Proposed projects; </w:t>
      </w:r>
    </w:p>
    <w:p w14:paraId="158F7945" w14:textId="77777777" w:rsidR="00D913A8" w:rsidRPr="00D913A8" w:rsidRDefault="00D913A8" w:rsidP="00D913A8">
      <w:pPr>
        <w:keepNext w:val="0"/>
        <w:numPr>
          <w:ilvl w:val="0"/>
          <w:numId w:val="22"/>
        </w:numPr>
        <w:spacing w:before="0" w:after="0"/>
        <w:ind w:left="993" w:hanging="426"/>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Strategies to assist the TU utilise its resources to the benefit of Aboriginal tenants; and</w:t>
      </w:r>
    </w:p>
    <w:p w14:paraId="3C2C0CBB" w14:textId="77777777" w:rsidR="00D913A8" w:rsidRPr="00D913A8" w:rsidRDefault="00D913A8" w:rsidP="00D913A8">
      <w:pPr>
        <w:keepNext w:val="0"/>
        <w:numPr>
          <w:ilvl w:val="0"/>
          <w:numId w:val="22"/>
        </w:numPr>
        <w:spacing w:before="0" w:after="0"/>
        <w:ind w:left="993" w:hanging="426"/>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Support of Aboriginal staff and cultural safety in the TU workplace.</w:t>
      </w:r>
    </w:p>
    <w:p w14:paraId="00F13269"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p>
    <w:p w14:paraId="40279CC4" w14:textId="77777777" w:rsidR="00D913A8" w:rsidRPr="00D913A8" w:rsidRDefault="00D913A8" w:rsidP="00D913A8">
      <w:pPr>
        <w:keepNext w:val="0"/>
        <w:spacing w:before="0" w:after="0"/>
        <w:ind w:left="567"/>
        <w:outlineLvl w:val="9"/>
        <w:rPr>
          <w:rFonts w:asciiTheme="majorHAnsi" w:eastAsia="Times New Roman" w:hAnsiTheme="majorHAnsi" w:cstheme="majorHAnsi"/>
          <w:bCs w:val="0"/>
          <w:lang w:eastAsia="en-US"/>
        </w:rPr>
      </w:pPr>
      <w:r w:rsidRPr="00D913A8">
        <w:rPr>
          <w:rFonts w:asciiTheme="majorHAnsi" w:eastAsia="Times New Roman" w:hAnsiTheme="majorHAnsi" w:cstheme="majorHAnsi"/>
          <w:bCs w:val="0"/>
          <w:lang w:eastAsia="en-US"/>
        </w:rPr>
        <w:t>Meeting procedure</w:t>
      </w:r>
    </w:p>
    <w:p w14:paraId="4AB5F501"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 xml:space="preserve">Meetings will be held every second month, unless otherwise required.  The Committee shall appoint a Chairperson at the beginning of each calendar year and will hold the position for one year. TU staff will consult with the Chair of the Committee on the agenda for the meeting and ensure that the agenda and any papers are sent to members one week before each meeting. </w:t>
      </w:r>
    </w:p>
    <w:p w14:paraId="4184F896" w14:textId="77777777" w:rsidR="00D913A8" w:rsidRPr="00D913A8" w:rsidRDefault="00D913A8" w:rsidP="00D913A8">
      <w:pPr>
        <w:keepNext w:val="0"/>
        <w:spacing w:before="0" w:after="0"/>
        <w:ind w:left="567"/>
        <w:outlineLvl w:val="9"/>
        <w:rPr>
          <w:rFonts w:asciiTheme="majorHAnsi" w:eastAsia="Times New Roman" w:hAnsiTheme="majorHAnsi" w:cstheme="majorHAnsi"/>
          <w:b w:val="0"/>
          <w:bCs w:val="0"/>
          <w:lang w:eastAsia="en-US"/>
        </w:rPr>
      </w:pPr>
    </w:p>
    <w:p w14:paraId="25416870" w14:textId="77777777" w:rsidR="00D913A8" w:rsidRPr="00D913A8" w:rsidRDefault="00D913A8" w:rsidP="00D913A8">
      <w:pPr>
        <w:keepNext w:val="0"/>
        <w:spacing w:before="0" w:after="0"/>
        <w:ind w:left="567"/>
        <w:outlineLvl w:val="9"/>
        <w:rPr>
          <w:rFonts w:asciiTheme="majorHAnsi" w:eastAsia="Times New Roman" w:hAnsiTheme="majorHAnsi" w:cstheme="majorHAnsi"/>
          <w:bCs w:val="0"/>
          <w:lang w:eastAsia="en-US"/>
        </w:rPr>
      </w:pPr>
      <w:r w:rsidRPr="00D913A8">
        <w:rPr>
          <w:rFonts w:asciiTheme="majorHAnsi" w:eastAsia="Times New Roman" w:hAnsiTheme="majorHAnsi" w:cstheme="majorHAnsi"/>
          <w:bCs w:val="0"/>
          <w:lang w:eastAsia="en-US"/>
        </w:rPr>
        <w:lastRenderedPageBreak/>
        <w:t>Review</w:t>
      </w:r>
    </w:p>
    <w:p w14:paraId="59505146" w14:textId="77777777" w:rsidR="00D913A8" w:rsidRPr="00D913A8" w:rsidRDefault="00D913A8" w:rsidP="00D913A8">
      <w:pPr>
        <w:keepNext w:val="0"/>
        <w:spacing w:before="0" w:after="0"/>
        <w:ind w:left="567" w:right="1807"/>
        <w:outlineLvl w:val="9"/>
        <w:rPr>
          <w:rFonts w:asciiTheme="majorHAnsi" w:eastAsia="Times New Roman" w:hAnsiTheme="majorHAnsi" w:cstheme="majorHAnsi"/>
          <w:b w:val="0"/>
          <w:bCs w:val="0"/>
          <w:lang w:eastAsia="en-US"/>
        </w:rPr>
      </w:pPr>
      <w:r w:rsidRPr="00D913A8">
        <w:rPr>
          <w:rFonts w:asciiTheme="majorHAnsi" w:eastAsia="Times New Roman" w:hAnsiTheme="majorHAnsi" w:cstheme="majorHAnsi"/>
          <w:b w:val="0"/>
          <w:bCs w:val="0"/>
          <w:lang w:eastAsia="en-US"/>
        </w:rPr>
        <w:t>The TU Board will review the role of the Advisory Committee at the end of each calendar year.</w:t>
      </w:r>
    </w:p>
    <w:p w14:paraId="794ADA4B" w14:textId="77777777" w:rsidR="00D913A8" w:rsidRPr="00D913A8" w:rsidRDefault="00D913A8" w:rsidP="00D913A8">
      <w:pPr>
        <w:keepNext w:val="0"/>
        <w:spacing w:before="0" w:after="0"/>
        <w:ind w:left="1276" w:right="1807"/>
        <w:outlineLvl w:val="9"/>
        <w:rPr>
          <w:rFonts w:ascii="Solomon Sans Normal" w:eastAsia="Times New Roman" w:hAnsi="Solomon Sans Normal" w:cs="Times New Roman"/>
          <w:b w:val="0"/>
          <w:bCs w:val="0"/>
          <w:lang w:eastAsia="en-US"/>
        </w:rPr>
      </w:pPr>
    </w:p>
    <w:p w14:paraId="47A576B7" w14:textId="77777777" w:rsidR="00D913A8" w:rsidRPr="00D913A8" w:rsidRDefault="00D913A8" w:rsidP="00D913A8">
      <w:pPr>
        <w:keepNext w:val="0"/>
        <w:spacing w:before="0" w:after="0"/>
        <w:ind w:left="1276" w:right="1807"/>
        <w:outlineLvl w:val="9"/>
        <w:rPr>
          <w:rFonts w:ascii="Solomon Sans Normal" w:eastAsia="Times New Roman" w:hAnsi="Solomon Sans Normal" w:cs="Times New Roman"/>
          <w:b w:val="0"/>
          <w:bCs w:val="0"/>
          <w:lang w:eastAsia="en-US"/>
        </w:rPr>
      </w:pPr>
    </w:p>
    <w:p w14:paraId="31C833E8" w14:textId="77777777" w:rsidR="00D913A8" w:rsidRPr="00D913A8" w:rsidRDefault="00D913A8" w:rsidP="00D913A8">
      <w:pPr>
        <w:keepNext w:val="0"/>
        <w:spacing w:before="0" w:after="0"/>
        <w:ind w:left="1276" w:right="1807"/>
        <w:outlineLvl w:val="9"/>
        <w:rPr>
          <w:rFonts w:ascii="Solomon Sans Normal" w:eastAsia="Times New Roman" w:hAnsi="Solomon Sans Normal" w:cs="Times New Roman"/>
          <w:b w:val="0"/>
          <w:bCs w:val="0"/>
          <w:lang w:eastAsia="en-US"/>
        </w:rPr>
      </w:pPr>
    </w:p>
    <w:p w14:paraId="687C148F" w14:textId="77777777" w:rsidR="00D913A8" w:rsidRPr="00D913A8" w:rsidRDefault="00D913A8" w:rsidP="00D913A8">
      <w:pPr>
        <w:keepNext w:val="0"/>
        <w:spacing w:before="0" w:after="0"/>
        <w:ind w:left="1276" w:right="1807"/>
        <w:outlineLvl w:val="9"/>
        <w:rPr>
          <w:rFonts w:ascii="Solomon Sans Normal" w:eastAsia="Times New Roman" w:hAnsi="Solomon Sans Normal" w:cs="Times New Roman"/>
          <w:b w:val="0"/>
          <w:bCs w:val="0"/>
          <w:lang w:eastAsia="en-US"/>
        </w:rPr>
      </w:pPr>
    </w:p>
    <w:p w14:paraId="2B8CD304" w14:textId="77777777" w:rsidR="00CA77AA" w:rsidRPr="008D4F9B" w:rsidRDefault="00CA77AA" w:rsidP="003110F4">
      <w:pPr>
        <w:pStyle w:val="TUbodytext"/>
        <w:jc w:val="center"/>
        <w:rPr>
          <w:rFonts w:ascii="Roboto" w:hAnsi="Roboto"/>
        </w:rPr>
      </w:pPr>
    </w:p>
    <w:sectPr w:rsidR="00CA77AA" w:rsidRPr="008D4F9B" w:rsidSect="00474782">
      <w:headerReference w:type="default" r:id="rId8"/>
      <w:footerReference w:type="even" r:id="rId9"/>
      <w:footerReference w:type="default" r:id="rId10"/>
      <w:pgSz w:w="12240" w:h="15840"/>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68C5" w14:textId="77777777" w:rsidR="00443738" w:rsidRDefault="00443738" w:rsidP="008B36BA">
      <w:r>
        <w:separator/>
      </w:r>
    </w:p>
  </w:endnote>
  <w:endnote w:type="continuationSeparator" w:id="0">
    <w:p w14:paraId="091C65EA" w14:textId="77777777" w:rsidR="00443738" w:rsidRDefault="00443738" w:rsidP="008B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Book">
    <w:altName w:val="Avenir Book"/>
    <w:panose1 w:val="00000000000000000000"/>
    <w:charset w:val="4D"/>
    <w:family w:val="auto"/>
    <w:notTrueType/>
    <w:pitch w:val="default"/>
    <w:sig w:usb0="00000003" w:usb1="00000000" w:usb2="00000000" w:usb3="00000000" w:csb0="00000001" w:csb1="00000000"/>
  </w:font>
  <w:font w:name="Solomon Sans Bold">
    <w:altName w:val="Times New Roman"/>
    <w:charset w:val="00"/>
    <w:family w:val="auto"/>
    <w:pitch w:val="variable"/>
    <w:sig w:usb0="00000001" w:usb1="4000004A" w:usb2="00000000" w:usb3="00000000" w:csb0="00000093" w:csb1="00000000"/>
  </w:font>
  <w:font w:name="Solomon Sans Normal">
    <w:altName w:val="Times New Roman"/>
    <w:charset w:val="00"/>
    <w:family w:val="auto"/>
    <w:pitch w:val="variable"/>
    <w:sig w:usb0="00000001" w:usb1="4000004A" w:usb2="00000000" w:usb3="00000000" w:csb0="00000093" w:csb1="00000000"/>
  </w:font>
  <w:font w:name="Mixage ITC Std Book">
    <w:altName w:val="Helvetica Neue Bold Condensed"/>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067B" w14:textId="77777777" w:rsidR="00443738" w:rsidRDefault="00443738" w:rsidP="003B7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5F38" w14:textId="77777777" w:rsidR="00443738" w:rsidRDefault="00443738" w:rsidP="004404DB">
    <w:pPr>
      <w:pStyle w:val="Footer"/>
      <w:tabs>
        <w:tab w:val="clear" w:pos="4153"/>
        <w:tab w:val="clear" w:pos="8306"/>
        <w:tab w:val="center" w:pos="4702"/>
        <w:tab w:val="right" w:pos="9404"/>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EC912" w14:textId="77777777" w:rsidR="00443738" w:rsidRDefault="00443738" w:rsidP="00314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1F0">
      <w:rPr>
        <w:rStyle w:val="PageNumber"/>
        <w:noProof/>
      </w:rPr>
      <w:t>2</w:t>
    </w:r>
    <w:r>
      <w:rPr>
        <w:rStyle w:val="PageNumber"/>
      </w:rPr>
      <w:fldChar w:fldCharType="end"/>
    </w:r>
  </w:p>
  <w:p w14:paraId="6F33CD4E" w14:textId="2F1EAA91" w:rsidR="00443738" w:rsidRPr="00C17B4D" w:rsidRDefault="00443738" w:rsidP="003B7E25">
    <w:pPr>
      <w:pStyle w:val="TUbodytext"/>
      <w:ind w:right="360"/>
      <w:jc w:val="right"/>
      <w:rPr>
        <w:rFonts w:ascii="Arial" w:hAnsi="Arial" w:cs="Arial"/>
        <w:b/>
        <w:i/>
      </w:rPr>
    </w:pPr>
    <w:r w:rsidRPr="00C17B4D">
      <w:rPr>
        <w:rFonts w:ascii="Arial" w:hAnsi="Arial" w:cs="Arial"/>
        <w:b/>
        <w:i/>
      </w:rPr>
      <w:t>Aboriginal and Torres Strait Islander Cultural Safety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832A" w14:textId="77777777" w:rsidR="00443738" w:rsidRDefault="00443738" w:rsidP="008B36BA">
      <w:r>
        <w:separator/>
      </w:r>
    </w:p>
  </w:footnote>
  <w:footnote w:type="continuationSeparator" w:id="0">
    <w:p w14:paraId="17344BA1" w14:textId="77777777" w:rsidR="00443738" w:rsidRDefault="00443738" w:rsidP="008B36BA">
      <w:r>
        <w:continuationSeparator/>
      </w:r>
    </w:p>
  </w:footnote>
  <w:footnote w:id="1">
    <w:p w14:paraId="641235E2" w14:textId="34D3482D" w:rsidR="00443738" w:rsidRPr="00F6416F" w:rsidRDefault="00443738">
      <w:pPr>
        <w:pStyle w:val="FootnoteText"/>
        <w:rPr>
          <w:lang w:val="en-US"/>
        </w:rPr>
      </w:pPr>
      <w:r>
        <w:rPr>
          <w:rStyle w:val="FootnoteReference"/>
        </w:rPr>
        <w:footnoteRef/>
      </w:r>
      <w:r>
        <w:t xml:space="preserve"> </w:t>
      </w:r>
      <w:r w:rsidRPr="00F6416F">
        <w:rPr>
          <w:rFonts w:ascii="Solomon Sans Normal" w:hAnsi="Solomon Sans Normal"/>
          <w:sz w:val="18"/>
          <w:szCs w:val="18"/>
          <w:lang w:val="en-US"/>
        </w:rPr>
        <w:t xml:space="preserve">Robyn Williams, as cited in </w:t>
      </w:r>
      <w:r w:rsidRPr="00F6416F">
        <w:rPr>
          <w:rFonts w:ascii="Solomon Sans Normal" w:hAnsi="Solomon Sans Normal"/>
          <w:i/>
          <w:sz w:val="18"/>
          <w:szCs w:val="18"/>
          <w:lang w:val="en-US"/>
        </w:rPr>
        <w:t>Aboriginal Cultural Competency Training Coursebook.</w:t>
      </w:r>
      <w:r w:rsidRPr="00F6416F">
        <w:rPr>
          <w:rFonts w:ascii="Solomon Sans Normal" w:hAnsi="Solomon Sans Normal"/>
          <w:sz w:val="18"/>
          <w:szCs w:val="18"/>
          <w:lang w:val="en-US"/>
        </w:rPr>
        <w:t xml:space="preserve"> Loretta Kelly and Antony Barac. Legal Aid New South Wales, 2013 pp34-35</w:t>
      </w:r>
    </w:p>
  </w:footnote>
  <w:footnote w:id="2">
    <w:p w14:paraId="780DB1E0" w14:textId="64662F79" w:rsidR="00443738" w:rsidRPr="00F6416F" w:rsidRDefault="00443738">
      <w:pPr>
        <w:pStyle w:val="FootnoteText"/>
        <w:rPr>
          <w:lang w:val="en-US"/>
        </w:rPr>
      </w:pPr>
      <w:r>
        <w:rPr>
          <w:rStyle w:val="FootnoteReference"/>
        </w:rPr>
        <w:footnoteRef/>
      </w:r>
      <w:r>
        <w:t xml:space="preserve"> </w:t>
      </w:r>
      <w:r w:rsidRPr="00F6416F">
        <w:rPr>
          <w:rFonts w:ascii="Solomon Sans Normal" w:hAnsi="Solomon Sans Normal"/>
          <w:sz w:val="18"/>
          <w:szCs w:val="18"/>
          <w:lang w:val="en-US"/>
        </w:rPr>
        <w:t>Kelly and Antony 2013 pp32-34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A44E" w14:textId="656CC777" w:rsidR="00443738" w:rsidRDefault="00443738" w:rsidP="008B36BA">
    <w:pPr>
      <w:pStyle w:val="Header"/>
    </w:pPr>
    <w:r>
      <w:rPr>
        <w:noProof/>
      </w:rPr>
      <mc:AlternateContent>
        <mc:Choice Requires="wps">
          <w:drawing>
            <wp:anchor distT="0" distB="0" distL="114300" distR="114300" simplePos="0" relativeHeight="251659264" behindDoc="0" locked="0" layoutInCell="1" allowOverlap="1" wp14:anchorId="192D1A11" wp14:editId="109F513B">
              <wp:simplePos x="0" y="0"/>
              <wp:positionH relativeFrom="column">
                <wp:posOffset>2514600</wp:posOffset>
              </wp:positionH>
              <wp:positionV relativeFrom="paragraph">
                <wp:posOffset>121285</wp:posOffset>
              </wp:positionV>
              <wp:extent cx="34290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30EFF4" w14:textId="3B4D59A1" w:rsidR="00443738" w:rsidRPr="00CA6A0F" w:rsidRDefault="00443738" w:rsidP="00C17B4D">
                          <w:pPr>
                            <w:pStyle w:val="Heading1"/>
                            <w:rPr>
                              <w:rFonts w:asciiTheme="majorHAnsi" w:hAnsiTheme="majorHAnsi" w:cstheme="majorHAnsi"/>
                              <w:sz w:val="40"/>
                              <w:szCs w:val="40"/>
                            </w:rPr>
                          </w:pPr>
                          <w:r w:rsidRPr="00CA6A0F">
                            <w:rPr>
                              <w:rFonts w:asciiTheme="majorHAnsi" w:hAnsiTheme="majorHAnsi" w:cstheme="majorHAnsi"/>
                              <w:sz w:val="40"/>
                              <w:szCs w:val="40"/>
                            </w:rPr>
                            <w:t xml:space="preserve">Aboriginal and Torres Strait Islander Cultural Safety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D1A11" id="_x0000_t202" coordsize="21600,21600" o:spt="202" path="m,l,21600r21600,l21600,xe">
              <v:stroke joinstyle="miter"/>
              <v:path gradientshapeok="t" o:connecttype="rect"/>
            </v:shapetype>
            <v:shape id="Text Box 2" o:spid="_x0000_s1026" type="#_x0000_t202" style="position:absolute;margin-left:198pt;margin-top:9.55pt;width:27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" filled="f" stroked="f">
              <v:textbox>
                <w:txbxContent>
                  <w:p w14:paraId="5030EFF4" w14:textId="3B4D59A1" w:rsidR="00443738" w:rsidRPr="00CA6A0F" w:rsidRDefault="00443738" w:rsidP="00C17B4D">
                    <w:pPr>
                      <w:pStyle w:val="Heading1"/>
                      <w:rPr>
                        <w:rFonts w:asciiTheme="majorHAnsi" w:hAnsiTheme="majorHAnsi" w:cstheme="majorHAnsi"/>
                        <w:sz w:val="40"/>
                        <w:szCs w:val="40"/>
                      </w:rPr>
                    </w:pPr>
                    <w:r w:rsidRPr="00CA6A0F">
                      <w:rPr>
                        <w:rFonts w:asciiTheme="majorHAnsi" w:hAnsiTheme="majorHAnsi" w:cstheme="majorHAnsi"/>
                        <w:sz w:val="40"/>
                        <w:szCs w:val="40"/>
                      </w:rPr>
                      <w:t xml:space="preserve">Aboriginal and Torres Strait Islander Cultural Safety </w:t>
                    </w:r>
                  </w:p>
                </w:txbxContent>
              </v:textbox>
            </v:shape>
          </w:pict>
        </mc:Fallback>
      </mc:AlternateContent>
    </w:r>
    <w:r>
      <w:rPr>
        <w:noProof/>
      </w:rPr>
      <w:drawing>
        <wp:inline distT="0" distB="0" distL="0" distR="0" wp14:anchorId="19D7144A" wp14:editId="2E9CDFEB">
          <wp:extent cx="2135956" cy="6541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CMYK.jpg"/>
                  <pic:cNvPicPr/>
                </pic:nvPicPr>
                <pic:blipFill>
                  <a:blip r:embed="rId1">
                    <a:extLst>
                      <a:ext uri="{28A0092B-C50C-407E-A947-70E740481C1C}">
                        <a14:useLocalDpi xmlns:a14="http://schemas.microsoft.com/office/drawing/2010/main" val="0"/>
                      </a:ext>
                    </a:extLst>
                  </a:blip>
                  <a:stretch>
                    <a:fillRect/>
                  </a:stretch>
                </pic:blipFill>
                <pic:spPr>
                  <a:xfrm>
                    <a:off x="0" y="0"/>
                    <a:ext cx="2137663" cy="654708"/>
                  </a:xfrm>
                  <a:prstGeom prst="rect">
                    <a:avLst/>
                  </a:prstGeom>
                </pic:spPr>
              </pic:pic>
            </a:graphicData>
          </a:graphic>
        </wp:inline>
      </w:drawing>
    </w:r>
    <w:r w:rsidRPr="00531449">
      <w:t xml:space="preserve"> </w:t>
    </w:r>
  </w:p>
  <w:p w14:paraId="15C12A37" w14:textId="4AF5CDA2" w:rsidR="00443738" w:rsidRPr="008E1D7F" w:rsidRDefault="00443738" w:rsidP="008B3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3C4"/>
    <w:multiLevelType w:val="hybridMultilevel"/>
    <w:tmpl w:val="8DC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0A76"/>
    <w:multiLevelType w:val="hybridMultilevel"/>
    <w:tmpl w:val="3CD890FC"/>
    <w:lvl w:ilvl="0" w:tplc="8EDAA7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42704"/>
    <w:multiLevelType w:val="hybridMultilevel"/>
    <w:tmpl w:val="6A9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BB8"/>
    <w:multiLevelType w:val="multilevel"/>
    <w:tmpl w:val="D9644DC2"/>
    <w:styleLink w:val="TUNumbers"/>
    <w:lvl w:ilvl="0">
      <w:start w:val="1"/>
      <w:numFmt w:val="upperLetter"/>
      <w:lvlText w:val="%1."/>
      <w:lvlJc w:val="left"/>
      <w:pPr>
        <w:tabs>
          <w:tab w:val="num" w:pos="851"/>
        </w:tabs>
        <w:ind w:left="851" w:hanging="851"/>
      </w:pPr>
      <w:rPr>
        <w:rFonts w:hint="default"/>
        <w:b w:val="0"/>
        <w:bCs w:val="0"/>
        <w:i w:val="0"/>
        <w:iCs w:val="0"/>
        <w:sz w:val="22"/>
      </w:rPr>
    </w:lvl>
    <w:lvl w:ilvl="1">
      <w:start w:val="1"/>
      <w:numFmt w:val="decimal"/>
      <w:lvlText w:val="%2."/>
      <w:lvlJc w:val="left"/>
      <w:pPr>
        <w:tabs>
          <w:tab w:val="num" w:pos="851"/>
        </w:tabs>
        <w:ind w:left="851" w:hanging="851"/>
      </w:pPr>
      <w:rPr>
        <w:rFonts w:hint="default"/>
        <w:b w:val="0"/>
        <w:bCs w:val="0"/>
        <w:i w:val="0"/>
        <w:iCs w:val="0"/>
        <w:sz w:val="22"/>
      </w:rPr>
    </w:lvl>
    <w:lvl w:ilvl="2">
      <w:start w:val="1"/>
      <w:numFmt w:val="decimal"/>
      <w:lvlText w:val="%2.%3"/>
      <w:lvlJc w:val="left"/>
      <w:pPr>
        <w:tabs>
          <w:tab w:val="num" w:pos="851"/>
        </w:tabs>
        <w:ind w:left="851" w:hanging="851"/>
      </w:pPr>
      <w:rPr>
        <w:rFonts w:hint="default"/>
        <w:b w:val="0"/>
        <w:bCs w:val="0"/>
        <w:i w:val="0"/>
        <w:iCs w:val="0"/>
        <w:sz w:val="22"/>
      </w:rPr>
    </w:lvl>
    <w:lvl w:ilvl="3">
      <w:start w:val="1"/>
      <w:numFmt w:val="decimal"/>
      <w:lvlText w:val="%2.%3.%4"/>
      <w:lvlJc w:val="left"/>
      <w:pPr>
        <w:tabs>
          <w:tab w:val="num" w:pos="851"/>
        </w:tabs>
        <w:ind w:left="851" w:hanging="851"/>
      </w:pPr>
      <w:rPr>
        <w:rFonts w:asciiTheme="minorHAnsi" w:hAnsiTheme="minorHAnsi" w:hint="default"/>
        <w:b w:val="0"/>
        <w:bCs w:val="0"/>
        <w:i w:val="0"/>
        <w:iCs w:val="0"/>
        <w:sz w:val="23"/>
        <w:szCs w:val="23"/>
      </w:rPr>
    </w:lvl>
    <w:lvl w:ilvl="4">
      <w:start w:val="1"/>
      <w:numFmt w:val="lowerLetter"/>
      <w:lvlText w:val="(%5)"/>
      <w:lvlJc w:val="left"/>
      <w:pPr>
        <w:tabs>
          <w:tab w:val="num" w:pos="1588"/>
        </w:tabs>
        <w:ind w:left="1588" w:hanging="737"/>
      </w:pPr>
      <w:rPr>
        <w:rFonts w:hint="default"/>
        <w:b w:val="0"/>
        <w:bCs w:val="0"/>
        <w:i w:val="0"/>
        <w:iCs w:val="0"/>
        <w:sz w:val="22"/>
      </w:rPr>
    </w:lvl>
    <w:lvl w:ilvl="5">
      <w:start w:val="1"/>
      <w:numFmt w:val="lowerRoman"/>
      <w:lvlText w:val="(%6)"/>
      <w:lvlJc w:val="left"/>
      <w:pPr>
        <w:tabs>
          <w:tab w:val="num" w:pos="2325"/>
        </w:tabs>
        <w:ind w:left="2325" w:hanging="737"/>
      </w:pPr>
      <w:rPr>
        <w:rFonts w:ascii="Palatino" w:hAnsi="Palatino" w:hint="default"/>
        <w:b w:val="0"/>
        <w:bCs w:val="0"/>
        <w:i w:val="0"/>
        <w:iCs w:val="0"/>
        <w:sz w:val="22"/>
        <w:szCs w:val="22"/>
      </w:rPr>
    </w:lvl>
    <w:lvl w:ilvl="6">
      <w:start w:val="1"/>
      <w:numFmt w:val="bullet"/>
      <w:lvlText w:val=""/>
      <w:lvlJc w:val="left"/>
      <w:pPr>
        <w:tabs>
          <w:tab w:val="num" w:pos="2778"/>
        </w:tabs>
        <w:ind w:left="2778" w:hanging="453"/>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0C0617"/>
    <w:multiLevelType w:val="hybridMultilevel"/>
    <w:tmpl w:val="920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95A49"/>
    <w:multiLevelType w:val="hybridMultilevel"/>
    <w:tmpl w:val="7E88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E611C"/>
    <w:multiLevelType w:val="hybridMultilevel"/>
    <w:tmpl w:val="8AC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66C47"/>
    <w:multiLevelType w:val="hybridMultilevel"/>
    <w:tmpl w:val="47D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F2D"/>
    <w:multiLevelType w:val="hybridMultilevel"/>
    <w:tmpl w:val="89A2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493296"/>
    <w:multiLevelType w:val="hybridMultilevel"/>
    <w:tmpl w:val="6D02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C7191"/>
    <w:multiLevelType w:val="hybridMultilevel"/>
    <w:tmpl w:val="ED58D11A"/>
    <w:lvl w:ilvl="0" w:tplc="770CA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465F3"/>
    <w:multiLevelType w:val="hybridMultilevel"/>
    <w:tmpl w:val="CE50769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55C39CB"/>
    <w:multiLevelType w:val="hybridMultilevel"/>
    <w:tmpl w:val="69F6689C"/>
    <w:lvl w:ilvl="0" w:tplc="8EF245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359B9"/>
    <w:multiLevelType w:val="hybridMultilevel"/>
    <w:tmpl w:val="94D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161C6"/>
    <w:multiLevelType w:val="hybridMultilevel"/>
    <w:tmpl w:val="5E149A6A"/>
    <w:lvl w:ilvl="0" w:tplc="54FA768E">
      <w:start w:val="1"/>
      <w:numFmt w:val="bullet"/>
      <w:pStyle w:val="BNG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7589E"/>
    <w:multiLevelType w:val="hybridMultilevel"/>
    <w:tmpl w:val="013C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25986"/>
    <w:multiLevelType w:val="hybridMultilevel"/>
    <w:tmpl w:val="04D8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F3FE3"/>
    <w:multiLevelType w:val="hybridMultilevel"/>
    <w:tmpl w:val="55A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84398"/>
    <w:multiLevelType w:val="hybridMultilevel"/>
    <w:tmpl w:val="5BA0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76EAB"/>
    <w:multiLevelType w:val="hybridMultilevel"/>
    <w:tmpl w:val="789C663C"/>
    <w:lvl w:ilvl="0" w:tplc="92B0DF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E11A0"/>
    <w:multiLevelType w:val="hybridMultilevel"/>
    <w:tmpl w:val="97F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26875"/>
    <w:multiLevelType w:val="hybridMultilevel"/>
    <w:tmpl w:val="E25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C6348"/>
    <w:multiLevelType w:val="hybridMultilevel"/>
    <w:tmpl w:val="2A2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16"/>
  </w:num>
  <w:num w:numId="5">
    <w:abstractNumId w:val="0"/>
  </w:num>
  <w:num w:numId="6">
    <w:abstractNumId w:val="2"/>
  </w:num>
  <w:num w:numId="7">
    <w:abstractNumId w:val="11"/>
  </w:num>
  <w:num w:numId="8">
    <w:abstractNumId w:val="4"/>
  </w:num>
  <w:num w:numId="9">
    <w:abstractNumId w:val="12"/>
  </w:num>
  <w:num w:numId="10">
    <w:abstractNumId w:val="6"/>
  </w:num>
  <w:num w:numId="11">
    <w:abstractNumId w:val="9"/>
  </w:num>
  <w:num w:numId="12">
    <w:abstractNumId w:val="13"/>
  </w:num>
  <w:num w:numId="13">
    <w:abstractNumId w:val="18"/>
  </w:num>
  <w:num w:numId="14">
    <w:abstractNumId w:val="8"/>
  </w:num>
  <w:num w:numId="15">
    <w:abstractNumId w:val="5"/>
  </w:num>
  <w:num w:numId="16">
    <w:abstractNumId w:val="10"/>
  </w:num>
  <w:num w:numId="17">
    <w:abstractNumId w:val="7"/>
  </w:num>
  <w:num w:numId="18">
    <w:abstractNumId w:val="20"/>
  </w:num>
  <w:num w:numId="19">
    <w:abstractNumId w:val="15"/>
  </w:num>
  <w:num w:numId="20">
    <w:abstractNumId w:val="1"/>
  </w:num>
  <w:num w:numId="21">
    <w:abstractNumId w:val="19"/>
  </w:num>
  <w:num w:numId="22">
    <w:abstractNumId w:val="17"/>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2B"/>
    <w:rsid w:val="00000F22"/>
    <w:rsid w:val="000011F5"/>
    <w:rsid w:val="00001A09"/>
    <w:rsid w:val="0000405C"/>
    <w:rsid w:val="00004D56"/>
    <w:rsid w:val="00007B49"/>
    <w:rsid w:val="000114A1"/>
    <w:rsid w:val="0001750D"/>
    <w:rsid w:val="00025012"/>
    <w:rsid w:val="00026D76"/>
    <w:rsid w:val="000337F5"/>
    <w:rsid w:val="0003723A"/>
    <w:rsid w:val="00040101"/>
    <w:rsid w:val="00045D3E"/>
    <w:rsid w:val="00046370"/>
    <w:rsid w:val="00046753"/>
    <w:rsid w:val="00046ACC"/>
    <w:rsid w:val="000473B0"/>
    <w:rsid w:val="000528DC"/>
    <w:rsid w:val="00064C39"/>
    <w:rsid w:val="000650A3"/>
    <w:rsid w:val="000668C8"/>
    <w:rsid w:val="00070471"/>
    <w:rsid w:val="0007069C"/>
    <w:rsid w:val="00076F0D"/>
    <w:rsid w:val="00081B15"/>
    <w:rsid w:val="00083A5C"/>
    <w:rsid w:val="00085779"/>
    <w:rsid w:val="00087B2E"/>
    <w:rsid w:val="000928A8"/>
    <w:rsid w:val="000951FD"/>
    <w:rsid w:val="00096EF6"/>
    <w:rsid w:val="000A23C6"/>
    <w:rsid w:val="000B0E14"/>
    <w:rsid w:val="000B1DB2"/>
    <w:rsid w:val="000B5935"/>
    <w:rsid w:val="000C7051"/>
    <w:rsid w:val="000C7CFA"/>
    <w:rsid w:val="000D0F20"/>
    <w:rsid w:val="000D119B"/>
    <w:rsid w:val="000D1A91"/>
    <w:rsid w:val="000D2880"/>
    <w:rsid w:val="000D2909"/>
    <w:rsid w:val="000D3B1B"/>
    <w:rsid w:val="000D6A29"/>
    <w:rsid w:val="000E4885"/>
    <w:rsid w:val="000E7CD3"/>
    <w:rsid w:val="000F0A8F"/>
    <w:rsid w:val="00101026"/>
    <w:rsid w:val="00101745"/>
    <w:rsid w:val="0010474E"/>
    <w:rsid w:val="00125B12"/>
    <w:rsid w:val="00131EEC"/>
    <w:rsid w:val="001323F9"/>
    <w:rsid w:val="00133B51"/>
    <w:rsid w:val="00135EF4"/>
    <w:rsid w:val="00142485"/>
    <w:rsid w:val="001525D7"/>
    <w:rsid w:val="00153FFA"/>
    <w:rsid w:val="00174830"/>
    <w:rsid w:val="0017796F"/>
    <w:rsid w:val="00184C74"/>
    <w:rsid w:val="001936B1"/>
    <w:rsid w:val="00194867"/>
    <w:rsid w:val="00194B86"/>
    <w:rsid w:val="001A009E"/>
    <w:rsid w:val="001A58CF"/>
    <w:rsid w:val="001B014A"/>
    <w:rsid w:val="001B226C"/>
    <w:rsid w:val="001B75BE"/>
    <w:rsid w:val="001B7A45"/>
    <w:rsid w:val="001B7E95"/>
    <w:rsid w:val="001C248C"/>
    <w:rsid w:val="001C2B1F"/>
    <w:rsid w:val="001C69E5"/>
    <w:rsid w:val="001D33E9"/>
    <w:rsid w:val="001D4C57"/>
    <w:rsid w:val="001D73E4"/>
    <w:rsid w:val="001E5431"/>
    <w:rsid w:val="001E69D8"/>
    <w:rsid w:val="00200620"/>
    <w:rsid w:val="00203341"/>
    <w:rsid w:val="00205D92"/>
    <w:rsid w:val="002229E8"/>
    <w:rsid w:val="00225E11"/>
    <w:rsid w:val="0022772F"/>
    <w:rsid w:val="00254239"/>
    <w:rsid w:val="00264625"/>
    <w:rsid w:val="002649F0"/>
    <w:rsid w:val="00270B87"/>
    <w:rsid w:val="00271D2F"/>
    <w:rsid w:val="002763F4"/>
    <w:rsid w:val="00280001"/>
    <w:rsid w:val="00286453"/>
    <w:rsid w:val="00291804"/>
    <w:rsid w:val="00295065"/>
    <w:rsid w:val="002965D8"/>
    <w:rsid w:val="002A4629"/>
    <w:rsid w:val="002A5348"/>
    <w:rsid w:val="002B025B"/>
    <w:rsid w:val="002B6CE0"/>
    <w:rsid w:val="002C32D2"/>
    <w:rsid w:val="002C3E66"/>
    <w:rsid w:val="002F1287"/>
    <w:rsid w:val="002F730F"/>
    <w:rsid w:val="00300F72"/>
    <w:rsid w:val="00302F73"/>
    <w:rsid w:val="00303605"/>
    <w:rsid w:val="003110F4"/>
    <w:rsid w:val="003146DD"/>
    <w:rsid w:val="00316A04"/>
    <w:rsid w:val="00321943"/>
    <w:rsid w:val="00332229"/>
    <w:rsid w:val="0033550D"/>
    <w:rsid w:val="0033655E"/>
    <w:rsid w:val="00341248"/>
    <w:rsid w:val="00342A82"/>
    <w:rsid w:val="00342C87"/>
    <w:rsid w:val="00345BF9"/>
    <w:rsid w:val="0035452C"/>
    <w:rsid w:val="00361EB8"/>
    <w:rsid w:val="00380148"/>
    <w:rsid w:val="00392F43"/>
    <w:rsid w:val="0039311B"/>
    <w:rsid w:val="00394FC5"/>
    <w:rsid w:val="00396C39"/>
    <w:rsid w:val="003971C5"/>
    <w:rsid w:val="003A09AF"/>
    <w:rsid w:val="003A69B3"/>
    <w:rsid w:val="003B4E1E"/>
    <w:rsid w:val="003B5686"/>
    <w:rsid w:val="003B7E25"/>
    <w:rsid w:val="003C7FA4"/>
    <w:rsid w:val="003D50E3"/>
    <w:rsid w:val="003D5C02"/>
    <w:rsid w:val="003E5DFF"/>
    <w:rsid w:val="003E6C87"/>
    <w:rsid w:val="003F2000"/>
    <w:rsid w:val="003F2201"/>
    <w:rsid w:val="003F2DE2"/>
    <w:rsid w:val="00411F75"/>
    <w:rsid w:val="004129A0"/>
    <w:rsid w:val="004179BE"/>
    <w:rsid w:val="00420DFC"/>
    <w:rsid w:val="00426477"/>
    <w:rsid w:val="0042667B"/>
    <w:rsid w:val="004404DB"/>
    <w:rsid w:val="004416FA"/>
    <w:rsid w:val="00443738"/>
    <w:rsid w:val="004502BE"/>
    <w:rsid w:val="0045120D"/>
    <w:rsid w:val="00452F2A"/>
    <w:rsid w:val="00453730"/>
    <w:rsid w:val="00453D87"/>
    <w:rsid w:val="004731B3"/>
    <w:rsid w:val="00474782"/>
    <w:rsid w:val="004752F5"/>
    <w:rsid w:val="00476977"/>
    <w:rsid w:val="00480BD0"/>
    <w:rsid w:val="00491630"/>
    <w:rsid w:val="004B200B"/>
    <w:rsid w:val="004C76BD"/>
    <w:rsid w:val="004D0302"/>
    <w:rsid w:val="004D47CB"/>
    <w:rsid w:val="004D6F8A"/>
    <w:rsid w:val="004F2AC5"/>
    <w:rsid w:val="004F5F49"/>
    <w:rsid w:val="004F74A4"/>
    <w:rsid w:val="00500C9C"/>
    <w:rsid w:val="005040F3"/>
    <w:rsid w:val="00505418"/>
    <w:rsid w:val="00507516"/>
    <w:rsid w:val="00520678"/>
    <w:rsid w:val="00520D33"/>
    <w:rsid w:val="0052616C"/>
    <w:rsid w:val="005310C7"/>
    <w:rsid w:val="00531449"/>
    <w:rsid w:val="00537829"/>
    <w:rsid w:val="00553F64"/>
    <w:rsid w:val="00555771"/>
    <w:rsid w:val="00562028"/>
    <w:rsid w:val="005705D0"/>
    <w:rsid w:val="00574317"/>
    <w:rsid w:val="00575193"/>
    <w:rsid w:val="00577922"/>
    <w:rsid w:val="00581EE9"/>
    <w:rsid w:val="00582E74"/>
    <w:rsid w:val="005944BD"/>
    <w:rsid w:val="005A191C"/>
    <w:rsid w:val="005A4FA3"/>
    <w:rsid w:val="005A5E0B"/>
    <w:rsid w:val="005A7D09"/>
    <w:rsid w:val="005B7070"/>
    <w:rsid w:val="005C5D92"/>
    <w:rsid w:val="005D4CC2"/>
    <w:rsid w:val="005E2721"/>
    <w:rsid w:val="005E2E5B"/>
    <w:rsid w:val="005F30E8"/>
    <w:rsid w:val="005F32C8"/>
    <w:rsid w:val="005F6844"/>
    <w:rsid w:val="00605C2F"/>
    <w:rsid w:val="00605EE7"/>
    <w:rsid w:val="00610D4B"/>
    <w:rsid w:val="00612E5C"/>
    <w:rsid w:val="00614F5E"/>
    <w:rsid w:val="00643789"/>
    <w:rsid w:val="006561CA"/>
    <w:rsid w:val="00666198"/>
    <w:rsid w:val="00666552"/>
    <w:rsid w:val="0067006E"/>
    <w:rsid w:val="006912F3"/>
    <w:rsid w:val="00691867"/>
    <w:rsid w:val="00692957"/>
    <w:rsid w:val="00694086"/>
    <w:rsid w:val="00694DC6"/>
    <w:rsid w:val="006C0F12"/>
    <w:rsid w:val="006C1139"/>
    <w:rsid w:val="006C4990"/>
    <w:rsid w:val="006C6E82"/>
    <w:rsid w:val="006E6358"/>
    <w:rsid w:val="006F2099"/>
    <w:rsid w:val="006F22A6"/>
    <w:rsid w:val="006F44DC"/>
    <w:rsid w:val="006F66EC"/>
    <w:rsid w:val="006F7116"/>
    <w:rsid w:val="007008FB"/>
    <w:rsid w:val="0070352F"/>
    <w:rsid w:val="00714473"/>
    <w:rsid w:val="00715B10"/>
    <w:rsid w:val="007254BA"/>
    <w:rsid w:val="00734D39"/>
    <w:rsid w:val="007354A6"/>
    <w:rsid w:val="00736C03"/>
    <w:rsid w:val="00741C81"/>
    <w:rsid w:val="00743105"/>
    <w:rsid w:val="007438FC"/>
    <w:rsid w:val="00755F7E"/>
    <w:rsid w:val="007611BA"/>
    <w:rsid w:val="00766405"/>
    <w:rsid w:val="0076725A"/>
    <w:rsid w:val="0077454D"/>
    <w:rsid w:val="00775668"/>
    <w:rsid w:val="00777C02"/>
    <w:rsid w:val="007905CC"/>
    <w:rsid w:val="007968B3"/>
    <w:rsid w:val="007A1CEB"/>
    <w:rsid w:val="007B23EC"/>
    <w:rsid w:val="007C0DD7"/>
    <w:rsid w:val="007C16B6"/>
    <w:rsid w:val="007C18D9"/>
    <w:rsid w:val="007C3EA7"/>
    <w:rsid w:val="007C4666"/>
    <w:rsid w:val="007C513C"/>
    <w:rsid w:val="007D44D1"/>
    <w:rsid w:val="007E0B8B"/>
    <w:rsid w:val="007F150C"/>
    <w:rsid w:val="007F34B3"/>
    <w:rsid w:val="00801042"/>
    <w:rsid w:val="00801A14"/>
    <w:rsid w:val="00815C4D"/>
    <w:rsid w:val="0083297A"/>
    <w:rsid w:val="008403DB"/>
    <w:rsid w:val="008423FA"/>
    <w:rsid w:val="00851B04"/>
    <w:rsid w:val="008601F0"/>
    <w:rsid w:val="00862EC3"/>
    <w:rsid w:val="008657A8"/>
    <w:rsid w:val="00865DE5"/>
    <w:rsid w:val="00870FA3"/>
    <w:rsid w:val="008750B4"/>
    <w:rsid w:val="00875357"/>
    <w:rsid w:val="008A6643"/>
    <w:rsid w:val="008A7B86"/>
    <w:rsid w:val="008B36BA"/>
    <w:rsid w:val="008B6874"/>
    <w:rsid w:val="008C49E8"/>
    <w:rsid w:val="008C7D2D"/>
    <w:rsid w:val="008D0954"/>
    <w:rsid w:val="008D3F2F"/>
    <w:rsid w:val="008D4F9B"/>
    <w:rsid w:val="008E192C"/>
    <w:rsid w:val="008E1D7F"/>
    <w:rsid w:val="008E269F"/>
    <w:rsid w:val="008E5C1F"/>
    <w:rsid w:val="008E65F0"/>
    <w:rsid w:val="00903704"/>
    <w:rsid w:val="00903BDA"/>
    <w:rsid w:val="009108DC"/>
    <w:rsid w:val="0091154A"/>
    <w:rsid w:val="00913063"/>
    <w:rsid w:val="00914842"/>
    <w:rsid w:val="009249C4"/>
    <w:rsid w:val="00925F67"/>
    <w:rsid w:val="00930E09"/>
    <w:rsid w:val="009321FA"/>
    <w:rsid w:val="0093709E"/>
    <w:rsid w:val="009418F7"/>
    <w:rsid w:val="009549CF"/>
    <w:rsid w:val="009576B9"/>
    <w:rsid w:val="00967669"/>
    <w:rsid w:val="00967E62"/>
    <w:rsid w:val="009710EE"/>
    <w:rsid w:val="00973962"/>
    <w:rsid w:val="009916FF"/>
    <w:rsid w:val="00992E34"/>
    <w:rsid w:val="00994771"/>
    <w:rsid w:val="00997913"/>
    <w:rsid w:val="009A00DE"/>
    <w:rsid w:val="009A05D2"/>
    <w:rsid w:val="009A16EC"/>
    <w:rsid w:val="009A682B"/>
    <w:rsid w:val="009A7E83"/>
    <w:rsid w:val="009B36B8"/>
    <w:rsid w:val="009B37FD"/>
    <w:rsid w:val="009C3EBB"/>
    <w:rsid w:val="009C4EB6"/>
    <w:rsid w:val="009D25CF"/>
    <w:rsid w:val="009D3CDB"/>
    <w:rsid w:val="009E0955"/>
    <w:rsid w:val="009E3A54"/>
    <w:rsid w:val="009E445D"/>
    <w:rsid w:val="009F1736"/>
    <w:rsid w:val="009F1B54"/>
    <w:rsid w:val="00A02454"/>
    <w:rsid w:val="00A0303A"/>
    <w:rsid w:val="00A067D8"/>
    <w:rsid w:val="00A07CF0"/>
    <w:rsid w:val="00A1031F"/>
    <w:rsid w:val="00A21592"/>
    <w:rsid w:val="00A24359"/>
    <w:rsid w:val="00A30B7F"/>
    <w:rsid w:val="00A31BB0"/>
    <w:rsid w:val="00A32489"/>
    <w:rsid w:val="00A327D2"/>
    <w:rsid w:val="00A36281"/>
    <w:rsid w:val="00A37606"/>
    <w:rsid w:val="00A400E6"/>
    <w:rsid w:val="00A4209E"/>
    <w:rsid w:val="00A43A17"/>
    <w:rsid w:val="00A60985"/>
    <w:rsid w:val="00A71DD3"/>
    <w:rsid w:val="00A72D68"/>
    <w:rsid w:val="00A7312D"/>
    <w:rsid w:val="00A763FB"/>
    <w:rsid w:val="00A82B9C"/>
    <w:rsid w:val="00A861A6"/>
    <w:rsid w:val="00A946FA"/>
    <w:rsid w:val="00AA1C3A"/>
    <w:rsid w:val="00AA574D"/>
    <w:rsid w:val="00AB4120"/>
    <w:rsid w:val="00AB565E"/>
    <w:rsid w:val="00AC3715"/>
    <w:rsid w:val="00AC73A4"/>
    <w:rsid w:val="00AD65CE"/>
    <w:rsid w:val="00AD7F1A"/>
    <w:rsid w:val="00AE4AB6"/>
    <w:rsid w:val="00AF4F84"/>
    <w:rsid w:val="00AF5917"/>
    <w:rsid w:val="00AF5E6B"/>
    <w:rsid w:val="00AF792C"/>
    <w:rsid w:val="00B04955"/>
    <w:rsid w:val="00B070F1"/>
    <w:rsid w:val="00B12230"/>
    <w:rsid w:val="00B14EF0"/>
    <w:rsid w:val="00B200B2"/>
    <w:rsid w:val="00B26043"/>
    <w:rsid w:val="00B377BB"/>
    <w:rsid w:val="00B4149B"/>
    <w:rsid w:val="00B420F0"/>
    <w:rsid w:val="00B4638E"/>
    <w:rsid w:val="00B503AD"/>
    <w:rsid w:val="00B51523"/>
    <w:rsid w:val="00B51F55"/>
    <w:rsid w:val="00B53946"/>
    <w:rsid w:val="00B57364"/>
    <w:rsid w:val="00B66889"/>
    <w:rsid w:val="00B70345"/>
    <w:rsid w:val="00B713C6"/>
    <w:rsid w:val="00B81DCC"/>
    <w:rsid w:val="00B9132E"/>
    <w:rsid w:val="00B9657A"/>
    <w:rsid w:val="00B97B02"/>
    <w:rsid w:val="00BA1C58"/>
    <w:rsid w:val="00BB412E"/>
    <w:rsid w:val="00BB74D0"/>
    <w:rsid w:val="00BC39F0"/>
    <w:rsid w:val="00BC6D41"/>
    <w:rsid w:val="00BD3351"/>
    <w:rsid w:val="00BD382C"/>
    <w:rsid w:val="00BE16C9"/>
    <w:rsid w:val="00BF5AC3"/>
    <w:rsid w:val="00C03AF2"/>
    <w:rsid w:val="00C0519A"/>
    <w:rsid w:val="00C05F57"/>
    <w:rsid w:val="00C06CC0"/>
    <w:rsid w:val="00C172FA"/>
    <w:rsid w:val="00C17B4D"/>
    <w:rsid w:val="00C21140"/>
    <w:rsid w:val="00C24350"/>
    <w:rsid w:val="00C344FD"/>
    <w:rsid w:val="00C36563"/>
    <w:rsid w:val="00C3673A"/>
    <w:rsid w:val="00C421C1"/>
    <w:rsid w:val="00C42414"/>
    <w:rsid w:val="00C45217"/>
    <w:rsid w:val="00C45C13"/>
    <w:rsid w:val="00C46228"/>
    <w:rsid w:val="00C4627A"/>
    <w:rsid w:val="00C4701B"/>
    <w:rsid w:val="00C50433"/>
    <w:rsid w:val="00C50B8E"/>
    <w:rsid w:val="00C51305"/>
    <w:rsid w:val="00C54B2F"/>
    <w:rsid w:val="00C55F02"/>
    <w:rsid w:val="00C5761A"/>
    <w:rsid w:val="00C74B07"/>
    <w:rsid w:val="00C87B75"/>
    <w:rsid w:val="00C902BC"/>
    <w:rsid w:val="00C9267B"/>
    <w:rsid w:val="00CA6A0F"/>
    <w:rsid w:val="00CA77AA"/>
    <w:rsid w:val="00CB1154"/>
    <w:rsid w:val="00CC2332"/>
    <w:rsid w:val="00CC58BA"/>
    <w:rsid w:val="00CC657F"/>
    <w:rsid w:val="00CD2F74"/>
    <w:rsid w:val="00CD30AF"/>
    <w:rsid w:val="00CE1642"/>
    <w:rsid w:val="00CE6630"/>
    <w:rsid w:val="00CF3116"/>
    <w:rsid w:val="00CF49F0"/>
    <w:rsid w:val="00CF6A0B"/>
    <w:rsid w:val="00D02EF8"/>
    <w:rsid w:val="00D0572B"/>
    <w:rsid w:val="00D05AD5"/>
    <w:rsid w:val="00D13D68"/>
    <w:rsid w:val="00D170CD"/>
    <w:rsid w:val="00D23102"/>
    <w:rsid w:val="00D45BED"/>
    <w:rsid w:val="00D4653D"/>
    <w:rsid w:val="00D513D7"/>
    <w:rsid w:val="00D6141D"/>
    <w:rsid w:val="00D672A4"/>
    <w:rsid w:val="00D70A26"/>
    <w:rsid w:val="00D72A59"/>
    <w:rsid w:val="00D76FE4"/>
    <w:rsid w:val="00D77208"/>
    <w:rsid w:val="00D812E2"/>
    <w:rsid w:val="00D85CFB"/>
    <w:rsid w:val="00D9044B"/>
    <w:rsid w:val="00D913A8"/>
    <w:rsid w:val="00D96671"/>
    <w:rsid w:val="00DA0753"/>
    <w:rsid w:val="00DA0FFD"/>
    <w:rsid w:val="00DA6FC8"/>
    <w:rsid w:val="00DB0E68"/>
    <w:rsid w:val="00DB1631"/>
    <w:rsid w:val="00DB1F5D"/>
    <w:rsid w:val="00DB2AE3"/>
    <w:rsid w:val="00DB4926"/>
    <w:rsid w:val="00DC0551"/>
    <w:rsid w:val="00DC2703"/>
    <w:rsid w:val="00DD071E"/>
    <w:rsid w:val="00DE3CC4"/>
    <w:rsid w:val="00DE5BE3"/>
    <w:rsid w:val="00DF2D34"/>
    <w:rsid w:val="00DF3E5B"/>
    <w:rsid w:val="00DF68E2"/>
    <w:rsid w:val="00E03E24"/>
    <w:rsid w:val="00E0429C"/>
    <w:rsid w:val="00E25E50"/>
    <w:rsid w:val="00E3142A"/>
    <w:rsid w:val="00E3307F"/>
    <w:rsid w:val="00E33C13"/>
    <w:rsid w:val="00E4238D"/>
    <w:rsid w:val="00E45792"/>
    <w:rsid w:val="00E47BE7"/>
    <w:rsid w:val="00E64199"/>
    <w:rsid w:val="00E64FEF"/>
    <w:rsid w:val="00E65F27"/>
    <w:rsid w:val="00E66286"/>
    <w:rsid w:val="00E70113"/>
    <w:rsid w:val="00E71AE1"/>
    <w:rsid w:val="00E730D7"/>
    <w:rsid w:val="00E76FBF"/>
    <w:rsid w:val="00E838C0"/>
    <w:rsid w:val="00E851C6"/>
    <w:rsid w:val="00E92A98"/>
    <w:rsid w:val="00E93426"/>
    <w:rsid w:val="00EA2D1E"/>
    <w:rsid w:val="00EA3489"/>
    <w:rsid w:val="00EA3643"/>
    <w:rsid w:val="00EC293F"/>
    <w:rsid w:val="00EC4E31"/>
    <w:rsid w:val="00ED68CE"/>
    <w:rsid w:val="00EE6834"/>
    <w:rsid w:val="00EF1ADF"/>
    <w:rsid w:val="00EF3B08"/>
    <w:rsid w:val="00EF5C05"/>
    <w:rsid w:val="00EF711A"/>
    <w:rsid w:val="00F023F8"/>
    <w:rsid w:val="00F03FC9"/>
    <w:rsid w:val="00F058C2"/>
    <w:rsid w:val="00F10061"/>
    <w:rsid w:val="00F137E0"/>
    <w:rsid w:val="00F13ADA"/>
    <w:rsid w:val="00F22410"/>
    <w:rsid w:val="00F24335"/>
    <w:rsid w:val="00F30569"/>
    <w:rsid w:val="00F4193C"/>
    <w:rsid w:val="00F4625F"/>
    <w:rsid w:val="00F532E2"/>
    <w:rsid w:val="00F546C6"/>
    <w:rsid w:val="00F61AE1"/>
    <w:rsid w:val="00F62204"/>
    <w:rsid w:val="00F6416F"/>
    <w:rsid w:val="00F74C79"/>
    <w:rsid w:val="00F76B8F"/>
    <w:rsid w:val="00F76D57"/>
    <w:rsid w:val="00F93A70"/>
    <w:rsid w:val="00FA5784"/>
    <w:rsid w:val="00FB2F92"/>
    <w:rsid w:val="00FC169D"/>
    <w:rsid w:val="00FE0865"/>
    <w:rsid w:val="00FE6D3C"/>
    <w:rsid w:val="00FF1474"/>
    <w:rsid w:val="00FF62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22E9928"/>
  <w15:docId w15:val="{484FD0EF-4DD3-4ED9-BFA6-AD073890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BA"/>
    <w:pPr>
      <w:keepNext/>
      <w:spacing w:before="240" w:after="60"/>
      <w:outlineLvl w:val="3"/>
    </w:pPr>
    <w:rPr>
      <w:rFonts w:ascii="Franklin Gothic Book" w:eastAsiaTheme="minorEastAsia" w:hAnsi="Franklin Gothic Book" w:cstheme="minorBidi"/>
      <w:b/>
      <w:bCs/>
      <w:sz w:val="22"/>
      <w:szCs w:val="22"/>
      <w:lang w:eastAsia="en-AU"/>
    </w:rPr>
  </w:style>
  <w:style w:type="paragraph" w:styleId="Heading1">
    <w:name w:val="heading 1"/>
    <w:basedOn w:val="Normal"/>
    <w:next w:val="Normal"/>
    <w:link w:val="Heading1Char"/>
    <w:uiPriority w:val="9"/>
    <w:qFormat/>
    <w:rsid w:val="00C17B4D"/>
    <w:pPr>
      <w:spacing w:before="0" w:after="0"/>
      <w:outlineLvl w:val="0"/>
    </w:pPr>
    <w:rPr>
      <w:rFonts w:ascii="Roboto" w:hAnsi="Roboto"/>
    </w:rPr>
  </w:style>
  <w:style w:type="paragraph" w:styleId="Heading2">
    <w:name w:val="heading 2"/>
    <w:basedOn w:val="Normal"/>
    <w:next w:val="Normal"/>
    <w:link w:val="Heading2Char"/>
    <w:uiPriority w:val="9"/>
    <w:semiHidden/>
    <w:unhideWhenUsed/>
    <w:qFormat/>
    <w:rsid w:val="00967669"/>
    <w:pPr>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Heading4">
    <w:name w:val="heading 4"/>
    <w:basedOn w:val="Normal"/>
    <w:next w:val="Normal"/>
    <w:link w:val="Heading4Char"/>
    <w:uiPriority w:val="9"/>
    <w:semiHidden/>
    <w:unhideWhenUsed/>
    <w:qFormat/>
    <w:rsid w:val="008B36BA"/>
    <w:rPr>
      <w:rFonts w:asciiTheme="minorHAnsi" w:hAnsiTheme="minorHAnsi"/>
      <w:b w:val="0"/>
      <w:bCs w:val="0"/>
      <w:sz w:val="28"/>
      <w:szCs w:val="28"/>
    </w:rPr>
  </w:style>
  <w:style w:type="paragraph" w:styleId="Heading6">
    <w:name w:val="heading 6"/>
    <w:basedOn w:val="Normal"/>
    <w:next w:val="Normal"/>
    <w:link w:val="Heading6Char"/>
    <w:uiPriority w:val="9"/>
    <w:semiHidden/>
    <w:unhideWhenUsed/>
    <w:qFormat/>
    <w:rsid w:val="008B36BA"/>
    <w:pPr>
      <w:outlineLvl w:val="5"/>
    </w:pPr>
    <w:rPr>
      <w:rFonts w:asciiTheme="minorHAnsi" w:hAnsiTheme="minorHAnsi"/>
      <w:b w:val="0"/>
      <w:bCs w:val="0"/>
    </w:rPr>
  </w:style>
  <w:style w:type="paragraph" w:styleId="Heading7">
    <w:name w:val="heading 7"/>
    <w:basedOn w:val="Normal"/>
    <w:next w:val="Normal"/>
    <w:link w:val="Heading7Char"/>
    <w:uiPriority w:val="9"/>
    <w:semiHidden/>
    <w:unhideWhenUsed/>
    <w:qFormat/>
    <w:rsid w:val="00531449"/>
    <w:pPr>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72B"/>
    <w:rPr>
      <w:rFonts w:ascii="Courier New" w:hAnsi="Courier New" w:cs="Courier New"/>
      <w:sz w:val="20"/>
      <w:szCs w:val="20"/>
    </w:rPr>
  </w:style>
  <w:style w:type="paragraph" w:styleId="Header">
    <w:name w:val="header"/>
    <w:basedOn w:val="Normal"/>
    <w:rsid w:val="009108DC"/>
    <w:pPr>
      <w:tabs>
        <w:tab w:val="center" w:pos="4153"/>
        <w:tab w:val="right" w:pos="8306"/>
      </w:tabs>
    </w:pPr>
  </w:style>
  <w:style w:type="paragraph" w:styleId="Footer">
    <w:name w:val="footer"/>
    <w:basedOn w:val="Normal"/>
    <w:link w:val="FooterChar"/>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link w:val="Footer"/>
    <w:rsid w:val="00F10061"/>
    <w:rPr>
      <w:sz w:val="24"/>
      <w:szCs w:val="24"/>
      <w:lang w:val="en-US" w:eastAsia="en-US"/>
    </w:rPr>
  </w:style>
  <w:style w:type="character" w:styleId="Hyperlink">
    <w:name w:val="Hyperlink"/>
    <w:rsid w:val="00F10061"/>
    <w:rPr>
      <w:color w:val="0000FF"/>
      <w:u w:val="single"/>
    </w:rPr>
  </w:style>
  <w:style w:type="paragraph" w:styleId="Subtitle">
    <w:name w:val="Subtitle"/>
    <w:basedOn w:val="Normal"/>
    <w:link w:val="SubtitleChar"/>
    <w:uiPriority w:val="11"/>
    <w:qFormat/>
    <w:rsid w:val="00D672A4"/>
    <w:pPr>
      <w:numPr>
        <w:ilvl w:val="1"/>
      </w:numPr>
    </w:pPr>
    <w:rPr>
      <w:rFonts w:ascii="Cambria" w:eastAsia="Times New Roman" w:hAnsi="Cambria" w:cs="Times New Roman"/>
      <w:i/>
      <w:iCs/>
      <w:color w:val="4F81BD"/>
      <w:spacing w:val="15"/>
    </w:rPr>
  </w:style>
  <w:style w:type="character" w:customStyle="1" w:styleId="SubtitleChar">
    <w:name w:val="Subtitle Char"/>
    <w:link w:val="Subtitle"/>
    <w:uiPriority w:val="11"/>
    <w:rsid w:val="00D672A4"/>
    <w:rPr>
      <w:rFonts w:ascii="Cambria" w:eastAsia="Times New Roman" w:hAnsi="Cambria" w:cs="Times New Roman"/>
      <w:i/>
      <w:iCs/>
      <w:color w:val="4F81BD"/>
      <w:spacing w:val="15"/>
      <w:sz w:val="24"/>
      <w:szCs w:val="24"/>
    </w:rPr>
  </w:style>
  <w:style w:type="character" w:customStyle="1" w:styleId="PlainTextChar">
    <w:name w:val="Plain Text Char"/>
    <w:link w:val="PlainText"/>
    <w:rsid w:val="00801A14"/>
    <w:rPr>
      <w:rFonts w:ascii="Courier New" w:hAnsi="Courier New" w:cs="Courier New"/>
      <w:lang w:val="en-US" w:eastAsia="en-US"/>
    </w:rPr>
  </w:style>
  <w:style w:type="paragraph" w:customStyle="1" w:styleId="BNGHeading1">
    <w:name w:val="BNG Heading 1"/>
    <w:basedOn w:val="Normal"/>
    <w:qFormat/>
    <w:rsid w:val="00DB4926"/>
    <w:pPr>
      <w:widowControl w:val="0"/>
      <w:pBdr>
        <w:bottom w:val="single" w:sz="4" w:space="1" w:color="E36C0A"/>
      </w:pBdr>
      <w:suppressAutoHyphens/>
      <w:autoSpaceDE w:val="0"/>
      <w:autoSpaceDN w:val="0"/>
      <w:adjustRightInd w:val="0"/>
      <w:spacing w:after="113" w:line="288" w:lineRule="auto"/>
      <w:textAlignment w:val="center"/>
      <w:outlineLvl w:val="0"/>
    </w:pPr>
    <w:rPr>
      <w:rFonts w:ascii="Arial" w:hAnsi="Arial" w:cs="Avenir-Book"/>
      <w:b w:val="0"/>
      <w:color w:val="D33211"/>
      <w:sz w:val="32"/>
      <w:szCs w:val="20"/>
      <w:lang w:val="en-GB"/>
    </w:rPr>
  </w:style>
  <w:style w:type="paragraph" w:customStyle="1" w:styleId="BNGHeading2">
    <w:name w:val="BNG Heading 2"/>
    <w:basedOn w:val="Normal"/>
    <w:qFormat/>
    <w:rsid w:val="00743105"/>
    <w:pPr>
      <w:spacing w:before="0" w:after="0"/>
    </w:pPr>
    <w:rPr>
      <w:rFonts w:ascii="Solomon Sans Bold" w:hAnsi="Solomon Sans Bold"/>
    </w:rPr>
  </w:style>
  <w:style w:type="paragraph" w:customStyle="1" w:styleId="BNGHeading3">
    <w:name w:val="BNG Heading 3"/>
    <w:basedOn w:val="TUbodytext"/>
    <w:qFormat/>
    <w:rsid w:val="00361EB8"/>
    <w:pPr>
      <w:spacing w:before="0" w:after="0"/>
    </w:pPr>
    <w:rPr>
      <w:i/>
      <w:u w:val="single"/>
    </w:rPr>
  </w:style>
  <w:style w:type="paragraph" w:customStyle="1" w:styleId="BNGNormal">
    <w:name w:val="BNG Normal"/>
    <w:basedOn w:val="Normal"/>
    <w:qFormat/>
    <w:rsid w:val="00E851C6"/>
    <w:pPr>
      <w:widowControl w:val="0"/>
      <w:numPr>
        <w:numId w:val="2"/>
      </w:numPr>
      <w:suppressAutoHyphens/>
      <w:autoSpaceDE w:val="0"/>
      <w:autoSpaceDN w:val="0"/>
      <w:adjustRightInd w:val="0"/>
      <w:spacing w:before="0" w:after="0"/>
      <w:textAlignment w:val="center"/>
    </w:pPr>
    <w:rPr>
      <w:rFonts w:cs="Avenir-Book"/>
      <w:b w:val="0"/>
      <w:color w:val="404040"/>
      <w:lang w:val="en-GB"/>
    </w:rPr>
  </w:style>
  <w:style w:type="character" w:customStyle="1" w:styleId="Heading1Char">
    <w:name w:val="Heading 1 Char"/>
    <w:basedOn w:val="DefaultParagraphFont"/>
    <w:link w:val="Heading1"/>
    <w:uiPriority w:val="9"/>
    <w:rsid w:val="00C17B4D"/>
    <w:rPr>
      <w:rFonts w:ascii="Roboto" w:eastAsiaTheme="minorEastAsia" w:hAnsi="Roboto" w:cstheme="minorBidi"/>
      <w:b/>
      <w:bCs/>
      <w:sz w:val="22"/>
      <w:szCs w:val="22"/>
      <w:lang w:eastAsia="en-AU"/>
    </w:rPr>
  </w:style>
  <w:style w:type="character" w:customStyle="1" w:styleId="Heading4Char">
    <w:name w:val="Heading 4 Char"/>
    <w:basedOn w:val="DefaultParagraphFont"/>
    <w:link w:val="Heading4"/>
    <w:uiPriority w:val="9"/>
    <w:rsid w:val="008B36BA"/>
    <w:rPr>
      <w:rFonts w:asciiTheme="minorHAnsi" w:eastAsiaTheme="minorEastAsia" w:hAnsiTheme="minorHAnsi" w:cstheme="minorBidi"/>
      <w:b/>
      <w:bCs/>
      <w:sz w:val="28"/>
      <w:szCs w:val="28"/>
      <w:lang w:eastAsia="en-AU"/>
    </w:rPr>
  </w:style>
  <w:style w:type="character" w:customStyle="1" w:styleId="Heading6Char">
    <w:name w:val="Heading 6 Char"/>
    <w:basedOn w:val="DefaultParagraphFont"/>
    <w:link w:val="Heading6"/>
    <w:uiPriority w:val="9"/>
    <w:rsid w:val="008B36BA"/>
    <w:rPr>
      <w:rFonts w:asciiTheme="minorHAnsi" w:eastAsiaTheme="minorEastAsia" w:hAnsiTheme="minorHAnsi" w:cstheme="minorBidi"/>
      <w:b/>
      <w:bCs/>
      <w:sz w:val="22"/>
      <w:szCs w:val="22"/>
      <w:lang w:eastAsia="en-AU"/>
    </w:rPr>
  </w:style>
  <w:style w:type="character" w:styleId="PageNumber">
    <w:name w:val="page number"/>
    <w:rsid w:val="008B36BA"/>
    <w:rPr>
      <w:rFonts w:ascii="Mixage ITC Std Book" w:hAnsi="Mixage ITC Std Book"/>
      <w:color w:val="auto"/>
      <w:sz w:val="22"/>
    </w:rPr>
  </w:style>
  <w:style w:type="paragraph" w:styleId="ListParagraph">
    <w:name w:val="List Paragraph"/>
    <w:basedOn w:val="Normal"/>
    <w:uiPriority w:val="34"/>
    <w:qFormat/>
    <w:rsid w:val="008B36BA"/>
    <w:pPr>
      <w:spacing w:after="200" w:line="274" w:lineRule="auto"/>
    </w:pPr>
    <w:rPr>
      <w:rFonts w:ascii="Palatino" w:eastAsia="Palatino" w:hAnsi="Palatino" w:cs="Times New Roman"/>
      <w:color w:val="000000"/>
      <w:lang w:eastAsia="en-US"/>
    </w:rPr>
  </w:style>
  <w:style w:type="numbering" w:customStyle="1" w:styleId="TUNumbers">
    <w:name w:val="TUNumbers"/>
    <w:uiPriority w:val="99"/>
    <w:rsid w:val="008B36BA"/>
    <w:pPr>
      <w:numPr>
        <w:numId w:val="1"/>
      </w:numPr>
    </w:pPr>
  </w:style>
  <w:style w:type="paragraph" w:customStyle="1" w:styleId="TUbodytext">
    <w:name w:val="TU body text"/>
    <w:basedOn w:val="Normal"/>
    <w:link w:val="TUbodytextChar"/>
    <w:qFormat/>
    <w:rsid w:val="00743105"/>
    <w:rPr>
      <w:rFonts w:ascii="Solomon Sans Normal" w:hAnsi="Solomon Sans Normal"/>
      <w:b w:val="0"/>
    </w:rPr>
  </w:style>
  <w:style w:type="character" w:customStyle="1" w:styleId="TUbodytextChar">
    <w:name w:val="TU body text Char"/>
    <w:basedOn w:val="BodyTextChar"/>
    <w:link w:val="TUbodytext"/>
    <w:rsid w:val="00743105"/>
    <w:rPr>
      <w:rFonts w:ascii="Solomon Sans Normal" w:eastAsiaTheme="minorEastAsia" w:hAnsi="Solomon Sans Normal" w:cstheme="minorBidi"/>
      <w:b w:val="0"/>
      <w:bCs/>
      <w:sz w:val="22"/>
      <w:szCs w:val="22"/>
      <w:lang w:eastAsia="en-AU"/>
    </w:rPr>
  </w:style>
  <w:style w:type="paragraph" w:styleId="BodyText">
    <w:name w:val="Body Text"/>
    <w:basedOn w:val="Normal"/>
    <w:link w:val="BodyTextChar"/>
    <w:rsid w:val="00E851C6"/>
    <w:pPr>
      <w:spacing w:after="120"/>
    </w:pPr>
  </w:style>
  <w:style w:type="character" w:customStyle="1" w:styleId="BodyTextChar">
    <w:name w:val="Body Text Char"/>
    <w:basedOn w:val="DefaultParagraphFont"/>
    <w:link w:val="BodyText"/>
    <w:rsid w:val="00E851C6"/>
    <w:rPr>
      <w:rFonts w:ascii="Franklin Gothic Book" w:eastAsiaTheme="minorEastAsia" w:hAnsi="Franklin Gothic Book" w:cstheme="minorBidi"/>
      <w:b/>
      <w:bCs/>
      <w:sz w:val="22"/>
      <w:szCs w:val="22"/>
      <w:lang w:eastAsia="en-AU"/>
    </w:rPr>
  </w:style>
  <w:style w:type="table" w:styleId="TableGrid">
    <w:name w:val="Table Grid"/>
    <w:basedOn w:val="TableNormal"/>
    <w:rsid w:val="0073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31449"/>
    <w:rPr>
      <w:rFonts w:asciiTheme="majorHAnsi" w:eastAsiaTheme="majorEastAsia" w:hAnsiTheme="majorHAnsi" w:cstheme="majorBidi"/>
      <w:b/>
      <w:bCs/>
      <w:i/>
      <w:iCs/>
      <w:color w:val="404040" w:themeColor="text1" w:themeTint="BF"/>
      <w:sz w:val="22"/>
      <w:szCs w:val="22"/>
      <w:lang w:eastAsia="en-AU"/>
    </w:rPr>
  </w:style>
  <w:style w:type="character" w:customStyle="1" w:styleId="Heading2Char">
    <w:name w:val="Heading 2 Char"/>
    <w:basedOn w:val="DefaultParagraphFont"/>
    <w:link w:val="Heading2"/>
    <w:uiPriority w:val="9"/>
    <w:semiHidden/>
    <w:rsid w:val="00967669"/>
    <w:rPr>
      <w:rFonts w:asciiTheme="majorHAnsi" w:eastAsiaTheme="majorEastAsia" w:hAnsiTheme="majorHAnsi" w:cstheme="majorBidi"/>
      <w:color w:val="4F81BD" w:themeColor="accent1"/>
      <w:sz w:val="26"/>
      <w:szCs w:val="26"/>
      <w:lang w:eastAsia="en-AU"/>
    </w:rPr>
  </w:style>
  <w:style w:type="paragraph" w:customStyle="1" w:styleId="TUlistpara">
    <w:name w:val="TU list para"/>
    <w:basedOn w:val="Normal"/>
    <w:next w:val="TUbodytext"/>
    <w:autoRedefine/>
    <w:qFormat/>
    <w:rsid w:val="00B70345"/>
    <w:pPr>
      <w:keepNext w:val="0"/>
      <w:widowControl w:val="0"/>
      <w:tabs>
        <w:tab w:val="left" w:pos="1276"/>
      </w:tabs>
      <w:spacing w:before="0" w:after="0"/>
      <w:contextualSpacing/>
      <w:outlineLvl w:val="9"/>
    </w:pPr>
    <w:rPr>
      <w:rFonts w:ascii="Calibri" w:eastAsiaTheme="minorHAnsi" w:hAnsi="Calibri" w:cs="Calibri"/>
      <w:b w:val="0"/>
      <w:bCs w:val="0"/>
      <w:shd w:val="clear" w:color="auto" w:fill="FFFFFF"/>
    </w:rPr>
  </w:style>
  <w:style w:type="paragraph" w:styleId="FootnoteText">
    <w:name w:val="footnote text"/>
    <w:basedOn w:val="Normal"/>
    <w:link w:val="FootnoteTextChar"/>
    <w:uiPriority w:val="99"/>
    <w:rsid w:val="00967669"/>
    <w:pPr>
      <w:keepNext w:val="0"/>
      <w:autoSpaceDE w:val="0"/>
      <w:autoSpaceDN w:val="0"/>
      <w:spacing w:before="0" w:after="0"/>
      <w:outlineLvl w:val="9"/>
    </w:pPr>
    <w:rPr>
      <w:rFonts w:ascii="Times" w:eastAsia="Times New Roman" w:hAnsi="Times" w:cs="Times New Roman"/>
      <w:b w:val="0"/>
      <w:bCs w:val="0"/>
      <w:sz w:val="20"/>
      <w:szCs w:val="20"/>
    </w:rPr>
  </w:style>
  <w:style w:type="character" w:customStyle="1" w:styleId="FootnoteTextChar">
    <w:name w:val="Footnote Text Char"/>
    <w:basedOn w:val="DefaultParagraphFont"/>
    <w:link w:val="FootnoteText"/>
    <w:uiPriority w:val="99"/>
    <w:rsid w:val="00967669"/>
    <w:rPr>
      <w:rFonts w:ascii="Times" w:eastAsia="Times New Roman" w:hAnsi="Times"/>
      <w:lang w:eastAsia="en-AU"/>
    </w:rPr>
  </w:style>
  <w:style w:type="character" w:styleId="FootnoteReference">
    <w:name w:val="footnote reference"/>
    <w:basedOn w:val="DefaultParagraphFont"/>
    <w:uiPriority w:val="99"/>
    <w:rsid w:val="00967669"/>
    <w:rPr>
      <w:vertAlign w:val="superscript"/>
    </w:rPr>
  </w:style>
  <w:style w:type="character" w:styleId="CommentReference">
    <w:name w:val="annotation reference"/>
    <w:basedOn w:val="DefaultParagraphFont"/>
    <w:uiPriority w:val="99"/>
    <w:unhideWhenUsed/>
    <w:rsid w:val="001525D7"/>
    <w:rPr>
      <w:sz w:val="16"/>
      <w:szCs w:val="16"/>
    </w:rPr>
  </w:style>
  <w:style w:type="paragraph" w:styleId="CommentText">
    <w:name w:val="annotation text"/>
    <w:basedOn w:val="Normal"/>
    <w:link w:val="CommentTextChar"/>
    <w:uiPriority w:val="99"/>
    <w:unhideWhenUsed/>
    <w:rsid w:val="001525D7"/>
    <w:pPr>
      <w:keepNext w:val="0"/>
      <w:spacing w:before="0" w:after="0"/>
      <w:outlineLvl w:val="9"/>
    </w:pPr>
    <w:rPr>
      <w:rFonts w:asciiTheme="minorHAnsi" w:eastAsiaTheme="minorHAnsi" w:hAnsiTheme="minorHAnsi"/>
      <w:b w:val="0"/>
      <w:bCs w:val="0"/>
      <w:sz w:val="20"/>
      <w:szCs w:val="20"/>
      <w:lang w:eastAsia="en-US"/>
    </w:rPr>
  </w:style>
  <w:style w:type="character" w:customStyle="1" w:styleId="CommentTextChar">
    <w:name w:val="Comment Text Char"/>
    <w:basedOn w:val="DefaultParagraphFont"/>
    <w:link w:val="CommentText"/>
    <w:uiPriority w:val="99"/>
    <w:rsid w:val="001525D7"/>
    <w:rPr>
      <w:rFonts w:asciiTheme="minorHAnsi" w:eastAsiaTheme="minorHAnsi" w:hAnsiTheme="minorHAnsi" w:cstheme="minorBidi"/>
    </w:rPr>
  </w:style>
  <w:style w:type="paragraph" w:styleId="CommentSubject">
    <w:name w:val="annotation subject"/>
    <w:basedOn w:val="CommentText"/>
    <w:next w:val="CommentText"/>
    <w:link w:val="CommentSubjectChar"/>
    <w:rsid w:val="00B503AD"/>
    <w:pPr>
      <w:keepNext/>
      <w:spacing w:before="240" w:after="60"/>
      <w:outlineLvl w:val="3"/>
    </w:pPr>
    <w:rPr>
      <w:rFonts w:ascii="Franklin Gothic Book" w:eastAsiaTheme="minorEastAsia" w:hAnsi="Franklin Gothic Book"/>
      <w:b/>
      <w:bCs/>
      <w:lang w:eastAsia="en-AU"/>
    </w:rPr>
  </w:style>
  <w:style w:type="character" w:customStyle="1" w:styleId="CommentSubjectChar">
    <w:name w:val="Comment Subject Char"/>
    <w:basedOn w:val="CommentTextChar"/>
    <w:link w:val="CommentSubject"/>
    <w:rsid w:val="00B503AD"/>
    <w:rPr>
      <w:rFonts w:ascii="Franklin Gothic Book" w:eastAsiaTheme="minorEastAsia" w:hAnsi="Franklin Gothic Book" w:cstheme="minorBidi"/>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5486">
      <w:bodyDiv w:val="1"/>
      <w:marLeft w:val="0"/>
      <w:marRight w:val="0"/>
      <w:marTop w:val="0"/>
      <w:marBottom w:val="0"/>
      <w:divBdr>
        <w:top w:val="none" w:sz="0" w:space="0" w:color="auto"/>
        <w:left w:val="none" w:sz="0" w:space="0" w:color="auto"/>
        <w:bottom w:val="none" w:sz="0" w:space="0" w:color="auto"/>
        <w:right w:val="none" w:sz="0" w:space="0" w:color="auto"/>
      </w:divBdr>
    </w:div>
    <w:div w:id="1286542577">
      <w:bodyDiv w:val="1"/>
      <w:marLeft w:val="0"/>
      <w:marRight w:val="0"/>
      <w:marTop w:val="0"/>
      <w:marBottom w:val="0"/>
      <w:divBdr>
        <w:top w:val="none" w:sz="0" w:space="0" w:color="auto"/>
        <w:left w:val="none" w:sz="0" w:space="0" w:color="auto"/>
        <w:bottom w:val="none" w:sz="0" w:space="0" w:color="auto"/>
        <w:right w:val="none" w:sz="0" w:space="0" w:color="auto"/>
      </w:divBdr>
      <w:divsChild>
        <w:div w:id="1267076400">
          <w:marLeft w:val="0"/>
          <w:marRight w:val="0"/>
          <w:marTop w:val="0"/>
          <w:marBottom w:val="0"/>
          <w:divBdr>
            <w:top w:val="none" w:sz="0" w:space="0" w:color="auto"/>
            <w:left w:val="none" w:sz="0" w:space="0" w:color="auto"/>
            <w:bottom w:val="none" w:sz="0" w:space="0" w:color="auto"/>
            <w:right w:val="none" w:sz="0" w:space="0" w:color="auto"/>
          </w:divBdr>
        </w:div>
        <w:div w:id="1902790202">
          <w:marLeft w:val="0"/>
          <w:marRight w:val="0"/>
          <w:marTop w:val="0"/>
          <w:marBottom w:val="0"/>
          <w:divBdr>
            <w:top w:val="none" w:sz="0" w:space="0" w:color="auto"/>
            <w:left w:val="none" w:sz="0" w:space="0" w:color="auto"/>
            <w:bottom w:val="none" w:sz="0" w:space="0" w:color="auto"/>
            <w:right w:val="none" w:sz="0" w:space="0" w:color="auto"/>
          </w:divBdr>
        </w:div>
        <w:div w:id="697244234">
          <w:marLeft w:val="0"/>
          <w:marRight w:val="0"/>
          <w:marTop w:val="0"/>
          <w:marBottom w:val="0"/>
          <w:divBdr>
            <w:top w:val="none" w:sz="0" w:space="0" w:color="auto"/>
            <w:left w:val="none" w:sz="0" w:space="0" w:color="auto"/>
            <w:bottom w:val="none" w:sz="0" w:space="0" w:color="auto"/>
            <w:right w:val="none" w:sz="0" w:space="0" w:color="auto"/>
          </w:divBdr>
        </w:div>
        <w:div w:id="178395307">
          <w:marLeft w:val="0"/>
          <w:marRight w:val="0"/>
          <w:marTop w:val="0"/>
          <w:marBottom w:val="0"/>
          <w:divBdr>
            <w:top w:val="none" w:sz="0" w:space="0" w:color="auto"/>
            <w:left w:val="none" w:sz="0" w:space="0" w:color="auto"/>
            <w:bottom w:val="none" w:sz="0" w:space="0" w:color="auto"/>
            <w:right w:val="none" w:sz="0" w:space="0" w:color="auto"/>
          </w:divBdr>
        </w:div>
        <w:div w:id="1417558395">
          <w:marLeft w:val="0"/>
          <w:marRight w:val="0"/>
          <w:marTop w:val="0"/>
          <w:marBottom w:val="0"/>
          <w:divBdr>
            <w:top w:val="none" w:sz="0" w:space="0" w:color="auto"/>
            <w:left w:val="none" w:sz="0" w:space="0" w:color="auto"/>
            <w:bottom w:val="none" w:sz="0" w:space="0" w:color="auto"/>
            <w:right w:val="none" w:sz="0" w:space="0" w:color="auto"/>
          </w:divBdr>
        </w:div>
        <w:div w:id="1072435074">
          <w:marLeft w:val="0"/>
          <w:marRight w:val="0"/>
          <w:marTop w:val="0"/>
          <w:marBottom w:val="0"/>
          <w:divBdr>
            <w:top w:val="none" w:sz="0" w:space="0" w:color="auto"/>
            <w:left w:val="none" w:sz="0" w:space="0" w:color="auto"/>
            <w:bottom w:val="none" w:sz="0" w:space="0" w:color="auto"/>
            <w:right w:val="none" w:sz="0" w:space="0" w:color="auto"/>
          </w:divBdr>
        </w:div>
        <w:div w:id="1874030703">
          <w:marLeft w:val="0"/>
          <w:marRight w:val="0"/>
          <w:marTop w:val="0"/>
          <w:marBottom w:val="0"/>
          <w:divBdr>
            <w:top w:val="none" w:sz="0" w:space="0" w:color="auto"/>
            <w:left w:val="none" w:sz="0" w:space="0" w:color="auto"/>
            <w:bottom w:val="none" w:sz="0" w:space="0" w:color="auto"/>
            <w:right w:val="none" w:sz="0" w:space="0" w:color="auto"/>
          </w:divBdr>
        </w:div>
        <w:div w:id="202131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3AD0-B0A4-48E0-91FD-01800081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MSO Policy Template</vt:lpstr>
    </vt:vector>
  </TitlesOfParts>
  <Company>Microsoft</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subject/>
  <dc:creator>Bradfield Nyland Group</dc:creator>
  <cp:keywords/>
  <dc:description/>
  <cp:lastModifiedBy>Julie Foreman</cp:lastModifiedBy>
  <cp:revision>17</cp:revision>
  <cp:lastPrinted>2018-01-29T23:01:00Z</cp:lastPrinted>
  <dcterms:created xsi:type="dcterms:W3CDTF">2014-10-26T22:54:00Z</dcterms:created>
  <dcterms:modified xsi:type="dcterms:W3CDTF">2019-07-24T00:09:00Z</dcterms:modified>
</cp:coreProperties>
</file>